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bookmarkStart w:id="0" w:name="_Hlt450066087"/>
      <w:bookmarkEnd w:id="0"/>
      <w:bookmarkStart w:id="1" w:name="_Hlt450066085"/>
      <w:bookmarkEnd w:id="1"/>
      <w:bookmarkStart w:id="2" w:name="_Hlt450051172"/>
      <w:bookmarkEnd w:id="2"/>
      <w:bookmarkStart w:id="3" w:name="_Hlt450039480"/>
      <w:bookmarkEnd w:id="3"/>
      <w:bookmarkStart w:id="4" w:name="_Hlt449016246"/>
      <w:bookmarkEnd w:id="4"/>
      <w:bookmarkStart w:id="5" w:name="_Hlt448930105"/>
      <w:bookmarkEnd w:id="5"/>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418358</w:t>
      </w:r>
    </w:p>
    <w:p>
      <w:pPr>
        <w:pStyle w:val="17"/>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14"/>
      <w:bookmarkStart w:id="7" w:name="OLE_LINK8"/>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6"/>
      <w:bookmarkEnd w:id="7"/>
      <w:r>
        <w:rPr>
          <w:rStyle w:val="60"/>
          <w:rFonts w:hint="eastAsia"/>
          <w:b/>
          <w:highlight w:val="none"/>
          <w:lang w:val="en-US" w:eastAsia="zh-CN"/>
        </w:rPr>
        <w:t>power domain enhancements for single carrier</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7.1.1.2.1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default"/>
          <w:i w:val="0"/>
          <w:iCs w:val="0"/>
          <w:sz w:val="20"/>
          <w:szCs w:val="20"/>
          <w:lang w:val="en-US" w:eastAsia="zh-CN"/>
        </w:rPr>
        <w:t>In RAN#102 meeting, a new Work Item [1] was approved on UE RF enhancements for NR FR1/FR2 and EN-DC, Phase 4, one of the objectives is about power boosting and/or MPR reduction as follows. In this contribution, we want to share some further views on power domain enhancements for single carrier.</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power domain enhancement, e.g., MPR reduction for NR single carrier and NR intra-band UL CA</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Study </w:t>
            </w:r>
            <w:r>
              <w:rPr>
                <w:rFonts w:ascii="Times New Roman" w:hAnsi="Times New Roman" w:cs="Times New Roman"/>
                <w:sz w:val="20"/>
                <w:szCs w:val="20"/>
              </w:rPr>
              <w:t xml:space="preserve">the scenarios, </w:t>
            </w:r>
            <w:r>
              <w:rPr>
                <w:rFonts w:hint="eastAsia" w:ascii="Times New Roman" w:hAnsi="Times New Roman" w:cs="Times New Roman"/>
                <w:sz w:val="20"/>
                <w:szCs w:val="20"/>
              </w:rPr>
              <w:t>and</w:t>
            </w:r>
            <w:r>
              <w:rPr>
                <w:rFonts w:ascii="Times New Roman" w:hAnsi="Times New Roman" w:cs="Times New Roman"/>
                <w:sz w:val="20"/>
                <w:szCs w:val="20"/>
              </w:rPr>
              <w:t xml:space="preserve"> if feasible,</w:t>
            </w:r>
            <w:r>
              <w:rPr>
                <w:rFonts w:hint="eastAsia" w:ascii="Times New Roman" w:hAnsi="Times New Roman" w:cs="Times New Roman"/>
                <w:sz w:val="20"/>
                <w:szCs w:val="20"/>
              </w:rPr>
              <w:t xml:space="preserve"> sp</w:t>
            </w:r>
            <w:r>
              <w:rPr>
                <w:rFonts w:ascii="Times New Roman" w:hAnsi="Times New Roman" w:cs="Times New Roman"/>
                <w:sz w:val="20"/>
                <w:szCs w:val="20"/>
              </w:rPr>
              <w:t>ecify the power domain enhancement, e.g., MPR reduction, for PC2 and PC3 with applicable ACLR/SEM/spurious emission modification with BS indication for NR FR1 on a single UL carrier</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t</w:t>
            </w:r>
            <w:r>
              <w:rPr>
                <w:rFonts w:hint="eastAsia" w:ascii="Times New Roman" w:hAnsi="Times New Roman" w:cs="Times New Roman"/>
                <w:sz w:val="20"/>
                <w:szCs w:val="20"/>
              </w:rPr>
              <w:t xml:space="preserve">he </w:t>
            </w:r>
            <w:bookmarkStart w:id="8" w:name="OLE_LINK6"/>
            <w:r>
              <w:rPr>
                <w:rFonts w:hint="eastAsia" w:ascii="Times New Roman" w:hAnsi="Times New Roman" w:cs="Times New Roman"/>
                <w:sz w:val="20"/>
                <w:szCs w:val="20"/>
              </w:rPr>
              <w:t>following scenarios</w:t>
            </w:r>
            <w:r>
              <w:rPr>
                <w:rFonts w:ascii="Times New Roman" w:hAnsi="Times New Roman" w:cs="Times New Roman"/>
                <w:sz w:val="20"/>
                <w:szCs w:val="20"/>
              </w:rPr>
              <w:t>:</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when there is no</w:t>
            </w:r>
            <w:r>
              <w:rPr>
                <w:rFonts w:ascii="Times New Roman" w:hAnsi="Times New Roman" w:cs="Times New Roman"/>
                <w:sz w:val="20"/>
                <w:szCs w:val="20"/>
              </w:rPr>
              <w:t xml:space="preserve"> adjacent</w:t>
            </w:r>
            <w:r>
              <w:rPr>
                <w:rFonts w:hint="eastAsia" w:ascii="Times New Roman" w:hAnsi="Times New Roman" w:cs="Times New Roman"/>
                <w:sz w:val="20"/>
                <w:szCs w:val="20"/>
              </w:rPr>
              <w:t xml:space="preserve"> </w:t>
            </w:r>
            <w:r>
              <w:rPr>
                <w:rFonts w:ascii="Times New Roman" w:hAnsi="Times New Roman" w:cs="Times New Roman"/>
                <w:sz w:val="20"/>
                <w:szCs w:val="20"/>
              </w:rPr>
              <w:t>in-band/out-of-band co-existence issue</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when a UE uses a narrower channel bandwidth within a wider BS bandwidth</w:t>
            </w:r>
          </w:p>
          <w:bookmarkEnd w:id="8"/>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w:t>
            </w:r>
            <w:r>
              <w:rPr>
                <w:rFonts w:hint="eastAsia" w:ascii="Times New Roman" w:hAnsi="Times New Roman" w:cs="Times New Roman"/>
                <w:sz w:val="20"/>
                <w:szCs w:val="20"/>
              </w:rPr>
              <w:t xml:space="preserve"> </w:t>
            </w:r>
            <w:r>
              <w:rPr>
                <w:rFonts w:ascii="Times New Roman" w:hAnsi="Times New Roman" w:cs="Times New Roman"/>
                <w:sz w:val="20"/>
                <w:szCs w:val="20"/>
              </w:rPr>
              <w:t>b</w:t>
            </w:r>
            <w:r>
              <w:rPr>
                <w:rFonts w:hint="eastAsia" w:ascii="Times New Roman" w:hAnsi="Times New Roman" w:cs="Times New Roman"/>
                <w:sz w:val="20"/>
                <w:szCs w:val="20"/>
              </w:rPr>
              <w:t xml:space="preserve">oth </w:t>
            </w:r>
            <w:r>
              <w:rPr>
                <w:rFonts w:ascii="Times New Roman" w:hAnsi="Times New Roman" w:cs="Times New Roman"/>
                <w:sz w:val="20"/>
                <w:szCs w:val="20"/>
              </w:rPr>
              <w:t>(e)</w:t>
            </w:r>
            <w:r>
              <w:rPr>
                <w:rFonts w:hint="eastAsia" w:ascii="Times New Roman" w:hAnsi="Times New Roman" w:cs="Times New Roman"/>
                <w:sz w:val="20"/>
                <w:szCs w:val="20"/>
              </w:rPr>
              <w:t>RedCap UE</w:t>
            </w:r>
            <w:r>
              <w:rPr>
                <w:rFonts w:ascii="Times New Roman" w:hAnsi="Times New Roman" w:cs="Times New Roman"/>
                <w:sz w:val="20"/>
                <w:szCs w:val="20"/>
              </w:rPr>
              <w:t xml:space="preserve"> (only PC3)</w:t>
            </w:r>
            <w:r>
              <w:rPr>
                <w:rFonts w:hint="eastAsia" w:ascii="Times New Roman" w:hAnsi="Times New Roman" w:cs="Times New Roman"/>
                <w:sz w:val="20"/>
                <w:szCs w:val="20"/>
              </w:rPr>
              <w:t xml:space="preserve"> and non-RedCap UE</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Limited to QSPK and 16QAM</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Specify </w:t>
            </w:r>
            <w:bookmarkStart w:id="9" w:name="OLE_LINK11"/>
            <w:r>
              <w:rPr>
                <w:rFonts w:ascii="Times New Roman" w:hAnsi="Times New Roman" w:cs="Times New Roman"/>
                <w:sz w:val="20"/>
                <w:szCs w:val="20"/>
              </w:rPr>
              <w:t xml:space="preserve">MPR applicability based on the UL CCs with activated cells </w:t>
            </w:r>
            <w:bookmarkEnd w:id="9"/>
            <w:r>
              <w:rPr>
                <w:rFonts w:ascii="Times New Roman" w:hAnsi="Times New Roman" w:cs="Times New Roman"/>
                <w:sz w:val="20"/>
                <w:szCs w:val="20"/>
              </w:rPr>
              <w:t>for NR intra-band UL CA configuration</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Include both intra-band UL </w:t>
            </w:r>
            <w:r>
              <w:rPr>
                <w:rFonts w:ascii="Times New Roman" w:hAnsi="Times New Roman" w:cs="Times New Roman"/>
                <w:sz w:val="20"/>
                <w:szCs w:val="20"/>
              </w:rPr>
              <w:t>contiguous</w:t>
            </w:r>
            <w:r>
              <w:rPr>
                <w:rFonts w:hint="eastAsia" w:ascii="Times New Roman" w:hAnsi="Times New Roman" w:cs="Times New Roman"/>
                <w:sz w:val="20"/>
                <w:szCs w:val="20"/>
              </w:rPr>
              <w:t xml:space="preserve"> </w:t>
            </w:r>
            <w:r>
              <w:rPr>
                <w:rFonts w:ascii="Times New Roman" w:hAnsi="Times New Roman" w:cs="Times New Roman"/>
                <w:sz w:val="20"/>
                <w:szCs w:val="20"/>
              </w:rPr>
              <w:t>CA and intra-band non-contiguous UL CA for FR1</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intra-band UL contiguous CA and intra-band DL contiguous CA with single UL for FR2</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MPR requirement is not applicable until the </w:t>
            </w:r>
            <w:bookmarkStart w:id="10" w:name="OLE_LINK13"/>
            <w:r>
              <w:rPr>
                <w:rFonts w:ascii="Times New Roman" w:hAnsi="Times New Roman" w:cs="Times New Roman"/>
                <w:sz w:val="20"/>
                <w:szCs w:val="20"/>
              </w:rPr>
              <w:t>SCell is activated</w:t>
            </w:r>
            <w:bookmarkEnd w:id="10"/>
          </w:p>
          <w:p>
            <w:pPr>
              <w:pStyle w:val="34"/>
              <w:numPr>
                <w:ilvl w:val="1"/>
                <w:numId w:val="8"/>
              </w:numPr>
              <w:overflowPunct w:val="0"/>
              <w:autoSpaceDE w:val="0"/>
              <w:autoSpaceDN w:val="0"/>
              <w:adjustRightInd w:val="0"/>
              <w:spacing w:after="180"/>
              <w:ind w:firstLineChars="0"/>
              <w:jc w:val="left"/>
              <w:textAlignment w:val="baseline"/>
              <w:rPr>
                <w:rFonts w:hint="default" w:eastAsia="宋体"/>
                <w:i w:val="0"/>
                <w:iCs w:val="0"/>
                <w:sz w:val="20"/>
                <w:szCs w:val="20"/>
                <w:vertAlign w:val="baseline"/>
                <w:lang w:val="en-US" w:eastAsia="zh-CN"/>
              </w:rPr>
            </w:pPr>
            <w:r>
              <w:rPr>
                <w:rFonts w:ascii="Times New Roman" w:hAnsi="Times New Roman" w:cs="Times New Roman"/>
                <w:sz w:val="20"/>
                <w:szCs w:val="20"/>
              </w:rPr>
              <w:t>Necessary signaling to support the above objectives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overflowPunct/>
        <w:topLinePunct w:val="0"/>
        <w:autoSpaceDE/>
        <w:autoSpaceDN/>
        <w:bidi w:val="0"/>
        <w:adjustRightInd/>
        <w:snapToGrid/>
        <w:spacing w:beforeLines="0" w:after="120" w:afterLines="0" w:line="260" w:lineRule="auto"/>
        <w:jc w:val="left"/>
        <w:textAlignment w:val="auto"/>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default"/>
          <w:lang w:val="en-US" w:eastAsia="zh-CN"/>
        </w:rPr>
      </w:pPr>
      <w:r>
        <w:rPr>
          <w:rFonts w:hint="eastAsia"/>
          <w:lang w:val="en-US" w:eastAsia="zh-CN"/>
        </w:rPr>
        <w:t>2.1 Approach for scenario 1 and scenario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val="0"/>
              <w:keepLines w:val="0"/>
              <w:pageBreakBefore w:val="0"/>
              <w:widowControl w:val="0"/>
              <w:numPr>
                <w:ilvl w:val="2"/>
                <w:numId w:val="0"/>
              </w:numPr>
              <w:kinsoku/>
              <w:wordWrap/>
              <w:overflowPunct/>
              <w:topLinePunct w:val="0"/>
              <w:autoSpaceDE/>
              <w:autoSpaceDN/>
              <w:bidi w:val="0"/>
              <w:adjustRightInd/>
              <w:snapToGrid/>
              <w:spacing w:before="0" w:after="60"/>
              <w:ind w:leftChars="0" w:right="0" w:rightChars="0"/>
              <w:textAlignment w:val="auto"/>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1-1-1: Approaches for scenarios 1-1 and 1-2 (see Reference for description of scenarios)</w:t>
            </w:r>
          </w:p>
          <w:p>
            <w:pPr>
              <w:pStyle w:val="34"/>
              <w:keepNext w:val="0"/>
              <w:keepLines w:val="0"/>
              <w:pageBreakBefore w:val="0"/>
              <w:widowControl w:val="0"/>
              <w:numPr>
                <w:ilvl w:val="0"/>
                <w:numId w:val="9"/>
              </w:numPr>
              <w:kinsoku/>
              <w:wordWrap/>
              <w:overflowPunct/>
              <w:topLinePunct w:val="0"/>
              <w:autoSpaceDE/>
              <w:autoSpaceDN/>
              <w:bidi w:val="0"/>
              <w:adjustRightInd/>
              <w:snapToGri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Strive for a unified solution which can accommodate both scenario 1 and scenario 2 under the framework of converting outer RB allocation to inner RB allocation.</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It does not preclude separate solutions for each applicable scenario</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textAlignment w:val="auto"/>
              <w:rPr>
                <w:rFonts w:eastAsiaTheme="minorEastAsia"/>
                <w:color w:val="000000" w:themeColor="text1"/>
                <w:sz w:val="20"/>
                <w:szCs w:val="20"/>
                <w:lang w:eastAsia="zh-CN"/>
                <w14:textFill>
                  <w14:solidFill>
                    <w14:schemeClr w14:val="tx1"/>
                  </w14:solidFill>
                </w14:textFill>
              </w:rPr>
            </w:pPr>
            <w:r>
              <w:rPr>
                <w:rFonts w:hint="eastAsia" w:eastAsia="宋体"/>
                <w:color w:val="000000" w:themeColor="text1"/>
                <w:sz w:val="20"/>
                <w:szCs w:val="20"/>
                <w:lang w:eastAsia="zh-CN"/>
                <w14:textFill>
                  <w14:solidFill>
                    <w14:schemeClr w14:val="tx1"/>
                  </w14:solidFill>
                </w14:textFill>
              </w:rPr>
              <w:t>No</w:t>
            </w:r>
            <w:r>
              <w:rPr>
                <w:rFonts w:eastAsia="宋体"/>
                <w:color w:val="000000" w:themeColor="text1"/>
                <w:sz w:val="20"/>
                <w:szCs w:val="20"/>
                <w:lang w:eastAsia="zh-CN"/>
                <w14:textFill>
                  <w14:solidFill>
                    <w14:schemeClr w14:val="tx1"/>
                  </w14:solidFill>
                </w14:textFill>
              </w:rPr>
              <w:t xml:space="preserve"> relaxation of ACLR/SEM/SE values</w:t>
            </w:r>
          </w:p>
          <w:p>
            <w:pPr>
              <w:pStyle w:val="34"/>
              <w:keepNext w:val="0"/>
              <w:keepLines w:val="0"/>
              <w:pageBreakBefore w:val="0"/>
              <w:widowControl w:val="0"/>
              <w:kinsoku/>
              <w:wordWrap/>
              <w:overflowPunct/>
              <w:topLinePunct w:val="0"/>
              <w:autoSpaceDE/>
              <w:autoSpaceDN/>
              <w:bidi w:val="0"/>
              <w:adjustRightInd/>
              <w:snapToGrid/>
              <w:spacing w:after="120"/>
              <w:ind w:left="1800" w:firstLine="0" w:firstLineChars="0"/>
              <w:textAlignment w:val="auto"/>
              <w:rPr>
                <w:rFonts w:eastAsiaTheme="minorEastAsia"/>
                <w:color w:val="000000" w:themeColor="text1"/>
                <w:sz w:val="20"/>
                <w:szCs w:val="20"/>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120"/>
              <w:textAlignment w:val="auto"/>
              <w:rPr>
                <w:b/>
                <w:color w:val="000000" w:themeColor="text1"/>
                <w:sz w:val="20"/>
                <w:szCs w:val="20"/>
                <w:u w:val="single"/>
                <w:lang w:val="en-US" w:eastAsia="ko-KR"/>
                <w14:textFill>
                  <w14:solidFill>
                    <w14:schemeClr w14:val="tx1"/>
                  </w14:solidFill>
                </w14:textFill>
              </w:rPr>
            </w:pPr>
            <w:r>
              <w:rPr>
                <w:b/>
                <w:color w:val="000000" w:themeColor="text1"/>
                <w:sz w:val="20"/>
                <w:szCs w:val="20"/>
                <w:u w:val="single"/>
                <w:lang w:val="en-US" w:eastAsia="ko-KR"/>
                <w14:textFill>
                  <w14:solidFill>
                    <w14:schemeClr w14:val="tx1"/>
                  </w14:solidFill>
                </w14:textFill>
              </w:rPr>
              <w:t>Issue 1-2-1: Clarification of multi-CC scenario</w:t>
            </w:r>
          </w:p>
          <w:p>
            <w:pPr>
              <w:pStyle w:val="34"/>
              <w:keepNext w:val="0"/>
              <w:keepLines w:val="0"/>
              <w:pageBreakBefore w:val="0"/>
              <w:widowControl w:val="0"/>
              <w:numPr>
                <w:ilvl w:val="0"/>
                <w:numId w:val="9"/>
              </w:numPr>
              <w:kinsoku/>
              <w:wordWrap/>
              <w:overflowPunct/>
              <w:topLinePunct w:val="0"/>
              <w:autoSpaceDE/>
              <w:autoSpaceDN/>
              <w:bidi w:val="0"/>
              <w:adjustRightInd/>
              <w:snapToGri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The approach of converting outer RB allocation to inner RB allocation for MPR reduction should consider multi-carrier spectrum scenario from NW perspective while the UE is configured for single CC operation. </w:t>
            </w:r>
          </w:p>
          <w:p>
            <w:pPr>
              <w:keepNext w:val="0"/>
              <w:keepLines w:val="0"/>
              <w:pageBreakBefore w:val="0"/>
              <w:widowControl w:val="0"/>
              <w:kinsoku/>
              <w:wordWrap/>
              <w:overflowPunct/>
              <w:topLinePunct w:val="0"/>
              <w:autoSpaceDE/>
              <w:autoSpaceDN/>
              <w:bidi w:val="0"/>
              <w:adjustRightInd/>
              <w:snapToGrid/>
              <w:spacing w:after="120"/>
              <w:textAlignment w:val="auto"/>
              <w:rPr>
                <w:rFonts w:eastAsiaTheme="minorEastAsia"/>
                <w:color w:val="000000" w:themeColor="text1"/>
                <w:sz w:val="20"/>
                <w:szCs w:val="20"/>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120"/>
              <w:textAlignment w:val="auto"/>
              <w:rPr>
                <w:b/>
                <w:color w:val="000000" w:themeColor="text1"/>
                <w:sz w:val="20"/>
                <w:szCs w:val="20"/>
                <w:u w:val="single"/>
                <w:lang w:val="en-US" w:eastAsia="ko-KR"/>
                <w14:textFill>
                  <w14:solidFill>
                    <w14:schemeClr w14:val="tx1"/>
                  </w14:solidFill>
                </w14:textFill>
              </w:rPr>
            </w:pPr>
            <w:r>
              <w:rPr>
                <w:b/>
                <w:color w:val="000000" w:themeColor="text1"/>
                <w:sz w:val="20"/>
                <w:szCs w:val="20"/>
                <w:u w:val="single"/>
                <w:lang w:val="en-US" w:eastAsia="ko-KR"/>
                <w14:textFill>
                  <w14:solidFill>
                    <w14:schemeClr w14:val="tx1"/>
                  </w14:solidFill>
                </w14:textFill>
              </w:rPr>
              <w:t>Issue 1-2-2: Approaches of converting outer RB allocation to inner RB allocation</w:t>
            </w:r>
          </w:p>
          <w:p>
            <w:pPr>
              <w:pStyle w:val="34"/>
              <w:keepNext w:val="0"/>
              <w:keepLines w:val="0"/>
              <w:pageBreakBefore w:val="0"/>
              <w:widowControl w:val="0"/>
              <w:numPr>
                <w:ilvl w:val="0"/>
                <w:numId w:val="9"/>
              </w:numPr>
              <w:kinsoku/>
              <w:wordWrap/>
              <w:overflowPunct/>
              <w:topLinePunct w:val="0"/>
              <w:autoSpaceDE/>
              <w:autoSpaceDN/>
              <w:bidi w:val="0"/>
              <w:adjustRightInd/>
              <w:snapToGri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textAlignment w:val="auto"/>
              <w:rPr>
                <w:rFonts w:eastAsia="宋体"/>
                <w:color w:val="000000" w:themeColor="text1"/>
                <w:sz w:val="20"/>
                <w:szCs w:val="20"/>
                <w:lang w:eastAsia="zh-CN"/>
                <w14:textFill>
                  <w14:solidFill>
                    <w14:schemeClr w14:val="tx1"/>
                  </w14:solidFill>
                </w14:textFill>
              </w:rPr>
            </w:pPr>
            <w:r>
              <w:rPr>
                <w:rFonts w:hint="eastAsia" w:eastAsia="宋体"/>
                <w:color w:val="000000" w:themeColor="text1"/>
                <w:sz w:val="20"/>
                <w:szCs w:val="20"/>
                <w:lang w:eastAsia="zh-CN"/>
                <w14:textFill>
                  <w14:solidFill>
                    <w14:schemeClr w14:val="tx1"/>
                  </w14:solidFill>
                </w14:textFill>
              </w:rPr>
              <w:t>T</w:t>
            </w:r>
            <w:r>
              <w:rPr>
                <w:rFonts w:eastAsia="宋体"/>
                <w:color w:val="000000" w:themeColor="text1"/>
                <w:sz w:val="20"/>
                <w:szCs w:val="20"/>
                <w:lang w:eastAsia="zh-CN"/>
                <w14:textFill>
                  <w14:solidFill>
                    <w14:schemeClr w14:val="tx1"/>
                  </w14:solidFill>
                </w14:textFill>
              </w:rPr>
              <w:t>he approach should consider the following aspects</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unified solution could be applicable for both scenarios 1 and scenario 2</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unified solution considering the spectrum allocation status of operators, e.g multi-CC case from NW perspective, to better leverage the feature of MPR reduction</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Solution could benefit RedCap and non-RedCap with UE CBW less or even identical to BS CBW</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Solution could include both symmetric and asymmetric CBW extension</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textAlignment w:val="auto"/>
              <w:rPr>
                <w:rFonts w:eastAsia="宋体"/>
                <w:color w:val="000000" w:themeColor="text1"/>
                <w:sz w:val="20"/>
                <w:szCs w:val="20"/>
                <w:lang w:eastAsia="zh-CN"/>
                <w14:textFill>
                  <w14:solidFill>
                    <w14:schemeClr w14:val="tx1"/>
                  </w14:solidFill>
                </w14:textFill>
              </w:rPr>
            </w:pPr>
            <w:r>
              <w:rPr>
                <w:rFonts w:hint="eastAsia" w:eastAsia="宋体"/>
                <w:color w:val="000000" w:themeColor="text1"/>
                <w:sz w:val="20"/>
                <w:szCs w:val="20"/>
                <w:lang w:eastAsia="zh-CN"/>
                <w14:textFill>
                  <w14:solidFill>
                    <w14:schemeClr w14:val="tx1"/>
                  </w14:solidFill>
                </w14:textFill>
              </w:rPr>
              <w:t>W</w:t>
            </w:r>
            <w:r>
              <w:rPr>
                <w:rFonts w:eastAsia="宋体"/>
                <w:color w:val="000000" w:themeColor="text1"/>
                <w:sz w:val="20"/>
                <w:szCs w:val="20"/>
                <w:lang w:eastAsia="zh-CN"/>
                <w14:textFill>
                  <w14:solidFill>
                    <w14:schemeClr w14:val="tx1"/>
                  </w14:solidFill>
                </w14:textFill>
              </w:rPr>
              <w:t>hether the extended UE CBW could exceed the BS CBW for different scenarios</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Signalling overhead is considered for the proposed approach(s)</w:t>
            </w:r>
          </w:p>
          <w:p>
            <w:pPr>
              <w:pStyle w:val="34"/>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eastAsia="宋体"/>
                <w:color w:val="000000" w:themeColor="text1"/>
                <w:sz w:val="20"/>
                <w:szCs w:val="20"/>
                <w:lang w:val="en-US" w:eastAsia="zh-CN"/>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color w:val="000000" w:themeColor="text1"/>
          <w:sz w:val="20"/>
          <w:szCs w:val="20"/>
          <w:lang w:val="en-US" w:eastAsia="zh-CN"/>
          <w14:textFill>
            <w14:solidFill>
              <w14:schemeClr w14:val="tx1"/>
            </w14:solidFill>
          </w14:textFill>
        </w:rPr>
      </w:pPr>
      <w:r>
        <w:rPr>
          <w:rFonts w:hint="eastAsia"/>
          <w:sz w:val="20"/>
          <w:szCs w:val="20"/>
          <w:lang w:val="en-US" w:eastAsia="zh-CN"/>
        </w:rPr>
        <w:t>After discussion in last meeting, we tend to seek a unified approach</w:t>
      </w:r>
      <w:r>
        <w:rPr>
          <w:rFonts w:eastAsia="宋体"/>
          <w:color w:val="000000" w:themeColor="text1"/>
          <w:sz w:val="20"/>
          <w:szCs w:val="20"/>
          <w:lang w:eastAsia="zh-CN"/>
          <w14:textFill>
            <w14:solidFill>
              <w14:schemeClr w14:val="tx1"/>
            </w14:solidFill>
          </w14:textFill>
        </w:rPr>
        <w:t xml:space="preserve"> applicable for both scenarios 1 and scenario 2</w:t>
      </w:r>
      <w:r>
        <w:rPr>
          <w:rFonts w:hint="eastAsia"/>
          <w:color w:val="000000" w:themeColor="text1"/>
          <w:sz w:val="20"/>
          <w:szCs w:val="20"/>
          <w:lang w:val="en-US" w:eastAsia="zh-CN"/>
          <w14:textFill>
            <w14:solidFill>
              <w14:schemeClr w14:val="tx1"/>
            </w14:solidFill>
          </w14:textFill>
        </w:rPr>
        <w:t>. The scenarios are listed as follows:</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Scenario 1-1: Scenario with no adjacent in-band/out-of-band co-existence issue (single operator)</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Scenario 1-2: Scenario with no adjacent in-band/out-of-band co-existence issue (adjacent operators)</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Scenario 2: Narrower UE channel BW within wider BS bandwidth</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 xml:space="preserve">In last meeting, the criteria to distinguish scenario 1-1 from scenario 1-2 was given in [2], which is to determine whether  there is sufficient gap between operator holding spectrums. However, from our understanding, the criteria to distinguish scenario 1 and scenario 2 is not clear as scenario 1 with no adjacent in-band/out-of-band co-existence issue includes the case that UE channel BW is narrower than BS bandwidth. Hence, we propose that as long as one of the scenarios is met, the unified solution can be used. Furthermore, taking into account all aspects that have been listed under issue 1-2-2 in the WF, it is proposed to consider the extended UE CBW based approach, and the details are as follows. </w:t>
      </w:r>
    </w:p>
    <w:p>
      <w:pPr>
        <w:keepNext w:val="0"/>
        <w:keepLines w:val="0"/>
        <w:pageBreakBefore w:val="0"/>
        <w:widowControl w:val="0"/>
        <w:numPr>
          <w:ilvl w:val="0"/>
          <w:numId w:val="10"/>
        </w:numPr>
        <w:kinsoku/>
        <w:wordWrap/>
        <w:overflowPunct/>
        <w:topLinePunct w:val="0"/>
        <w:autoSpaceDE/>
        <w:autoSpaceDN/>
        <w:bidi w:val="0"/>
        <w:adjustRightInd/>
        <w:snapToGrid/>
        <w:spacing w:line="260" w:lineRule="auto"/>
        <w:ind w:left="420" w:leftChars="0" w:hanging="420" w:firstLineChars="0"/>
        <w:textAlignment w:val="auto"/>
        <w:rPr>
          <w:rFonts w:hint="default"/>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For single carrier operation from NW perspective, if the minimum offset between UE CBW and BS CBW is larger than 1/2 UE CBW, the extended UE CBW based approach can be applied. The extension ratio of extended UE CBW to UE CBW is two, which can convert full RB allocation in UE CBW to new inner RB allocation.</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default"/>
          <w:color w:val="000000" w:themeColor="text1"/>
          <w:sz w:val="20"/>
          <w:szCs w:val="20"/>
          <w:lang w:val="en-US" w:eastAsia="zh-CN"/>
          <w14:textFill>
            <w14:solidFill>
              <w14:schemeClr w14:val="tx1"/>
            </w14:solidFill>
          </w14:textFill>
        </w:rPr>
      </w:pPr>
      <w:r>
        <w:rPr>
          <w:rFonts w:hint="default"/>
          <w:color w:val="000000" w:themeColor="text1"/>
          <w:sz w:val="20"/>
          <w:szCs w:val="20"/>
          <w:lang w:val="en-US" w:eastAsia="zh-CN"/>
          <w14:textFill>
            <w14:solidFill>
              <w14:schemeClr w14:val="tx1"/>
            </w14:solidFill>
          </w14:textFill>
        </w:rPr>
        <w:drawing>
          <wp:inline distT="0" distB="0" distL="114300" distR="114300">
            <wp:extent cx="2795270" cy="1094740"/>
            <wp:effectExtent l="0" t="0" r="8890" b="2540"/>
            <wp:docPr id="4" name="图片 4" descr="single 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ingle cc"/>
                    <pic:cNvPicPr>
                      <a:picLocks noChangeAspect="1"/>
                    </pic:cNvPicPr>
                  </pic:nvPicPr>
                  <pic:blipFill>
                    <a:blip r:embed="rId12"/>
                    <a:srcRect b="11771"/>
                    <a:stretch>
                      <a:fillRect/>
                    </a:stretch>
                  </pic:blipFill>
                  <pic:spPr>
                    <a:xfrm>
                      <a:off x="0" y="0"/>
                      <a:ext cx="2795270" cy="109474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default"/>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Figure 2.1: the extended UE CBW based approach for single carrier operation</w:t>
      </w:r>
    </w:p>
    <w:p>
      <w:pPr>
        <w:keepNext w:val="0"/>
        <w:keepLines w:val="0"/>
        <w:pageBreakBefore w:val="0"/>
        <w:widowControl w:val="0"/>
        <w:numPr>
          <w:ilvl w:val="0"/>
          <w:numId w:val="10"/>
        </w:numPr>
        <w:kinsoku/>
        <w:wordWrap/>
        <w:overflowPunct/>
        <w:topLinePunct w:val="0"/>
        <w:autoSpaceDE/>
        <w:autoSpaceDN/>
        <w:bidi w:val="0"/>
        <w:adjustRightInd/>
        <w:snapToGrid/>
        <w:spacing w:line="260" w:lineRule="auto"/>
        <w:ind w:left="420" w:leftChars="0" w:hanging="420" w:firstLineChars="0"/>
        <w:textAlignment w:val="auto"/>
        <w:rPr>
          <w:rFonts w:hint="default"/>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For multi-carrier case from NW perspective, when there is no adjacent in-band/out-of-band co-existence issue, and when the minimum offset between UE CBW and BS RF bandwidth is greater than 1/2 UE CBW, the extended UE CBW based approach can be applied, in which, the extended UE CBW could exceed the BS CBW. The extension ratio of extended UE CBW to UE CBW is two, which can convert full RB allocation in UE CBW to new inner RB allocation.</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default"/>
          <w:color w:val="000000" w:themeColor="text1"/>
          <w:sz w:val="20"/>
          <w:szCs w:val="20"/>
          <w:lang w:val="en-US" w:eastAsia="zh-CN"/>
          <w14:textFill>
            <w14:solidFill>
              <w14:schemeClr w14:val="tx1"/>
            </w14:solidFill>
          </w14:textFill>
        </w:rPr>
      </w:pPr>
      <w:r>
        <w:rPr>
          <w:rFonts w:hint="default"/>
          <w:color w:val="000000" w:themeColor="text1"/>
          <w:sz w:val="20"/>
          <w:szCs w:val="20"/>
          <w:lang w:val="en-US" w:eastAsia="zh-CN"/>
          <w14:textFill>
            <w14:solidFill>
              <w14:schemeClr w14:val="tx1"/>
            </w14:solidFill>
          </w14:textFill>
        </w:rPr>
        <w:drawing>
          <wp:inline distT="0" distB="0" distL="114300" distR="114300">
            <wp:extent cx="3247390" cy="1567180"/>
            <wp:effectExtent l="0" t="0" r="0" b="2540"/>
            <wp:docPr id="3" name="图片 3" descr="multi-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multi-cc"/>
                    <pic:cNvPicPr>
                      <a:picLocks noChangeAspect="1"/>
                    </pic:cNvPicPr>
                  </pic:nvPicPr>
                  <pic:blipFill>
                    <a:blip r:embed="rId13"/>
                    <a:srcRect b="8185"/>
                    <a:stretch>
                      <a:fillRect/>
                    </a:stretch>
                  </pic:blipFill>
                  <pic:spPr>
                    <a:xfrm>
                      <a:off x="0" y="0"/>
                      <a:ext cx="3247390" cy="156718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default"/>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Figure 2.1: the extended UE CBW based approach for multi-carrier case</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color w:val="000000" w:themeColor="text1"/>
          <w:sz w:val="20"/>
          <w:szCs w:val="20"/>
          <w:lang w:val="en-US" w:eastAsia="zh-CN"/>
          <w14:textFill>
            <w14:solidFill>
              <w14:schemeClr w14:val="tx1"/>
            </w14:solidFill>
          </w14:textFill>
        </w:rPr>
      </w:pPr>
      <w:r>
        <w:rPr>
          <w:rFonts w:hint="eastAsia"/>
          <w:b/>
          <w:bCs/>
          <w:i w:val="0"/>
          <w:iCs w:val="0"/>
          <w:sz w:val="20"/>
          <w:szCs w:val="20"/>
          <w:lang w:val="en-US" w:eastAsia="zh-CN"/>
        </w:rPr>
        <w:t>Proposal 1: As long as one of the scenarios is met, the extended UE CBW based approach can be applied, and the details are as follows.</w:t>
      </w:r>
    </w:p>
    <w:p>
      <w:pPr>
        <w:keepNext w:val="0"/>
        <w:keepLines w:val="0"/>
        <w:pageBreakBefore w:val="0"/>
        <w:widowControl w:val="0"/>
        <w:numPr>
          <w:ilvl w:val="0"/>
          <w:numId w:val="10"/>
        </w:numPr>
        <w:kinsoku/>
        <w:wordWrap/>
        <w:overflowPunct/>
        <w:topLinePunct w:val="0"/>
        <w:autoSpaceDE/>
        <w:autoSpaceDN/>
        <w:bidi w:val="0"/>
        <w:adjustRightInd/>
        <w:snapToGrid/>
        <w:spacing w:line="260" w:lineRule="auto"/>
        <w:ind w:left="420" w:leftChars="0" w:hanging="420" w:firstLineChars="0"/>
        <w:textAlignment w:val="auto"/>
        <w:rPr>
          <w:rFonts w:hint="default"/>
          <w:b/>
          <w:bCs/>
          <w:color w:val="000000" w:themeColor="text1"/>
          <w:sz w:val="20"/>
          <w:szCs w:val="20"/>
          <w:lang w:val="en-US" w:eastAsia="zh-CN"/>
          <w14:textFill>
            <w14:solidFill>
              <w14:schemeClr w14:val="tx1"/>
            </w14:solidFill>
          </w14:textFill>
        </w:rPr>
      </w:pPr>
      <w:r>
        <w:rPr>
          <w:rFonts w:hint="eastAsia"/>
          <w:b/>
          <w:bCs/>
          <w:color w:val="000000" w:themeColor="text1"/>
          <w:sz w:val="20"/>
          <w:szCs w:val="20"/>
          <w:lang w:val="en-US" w:eastAsia="zh-CN"/>
          <w14:textFill>
            <w14:solidFill>
              <w14:schemeClr w14:val="tx1"/>
            </w14:solidFill>
          </w14:textFill>
        </w:rPr>
        <w:t>For single carrier operation from NW perspective, if the minimum offset between UE CBW and BS CBW is larger than or equal to 1/2 UE CBW, the extended UE CBW based approach can be applied. The extension ratio of extended UE CBW to UE CBW is two, which can convert full RB allocation in UE CBW to new inner RB allocation.</w:t>
      </w:r>
    </w:p>
    <w:p>
      <w:pPr>
        <w:keepNext w:val="0"/>
        <w:keepLines w:val="0"/>
        <w:pageBreakBefore w:val="0"/>
        <w:widowControl w:val="0"/>
        <w:numPr>
          <w:ilvl w:val="0"/>
          <w:numId w:val="10"/>
        </w:numPr>
        <w:kinsoku/>
        <w:wordWrap/>
        <w:overflowPunct/>
        <w:topLinePunct w:val="0"/>
        <w:autoSpaceDE/>
        <w:autoSpaceDN/>
        <w:bidi w:val="0"/>
        <w:adjustRightInd/>
        <w:snapToGrid/>
        <w:spacing w:line="260" w:lineRule="auto"/>
        <w:ind w:left="420" w:leftChars="0" w:hanging="420" w:firstLineChars="0"/>
        <w:textAlignment w:val="auto"/>
        <w:rPr>
          <w:rFonts w:hint="default"/>
          <w:b/>
          <w:bCs/>
          <w:color w:val="000000" w:themeColor="text1"/>
          <w:sz w:val="20"/>
          <w:szCs w:val="20"/>
          <w:lang w:val="en-US" w:eastAsia="zh-CN"/>
          <w14:textFill>
            <w14:solidFill>
              <w14:schemeClr w14:val="tx1"/>
            </w14:solidFill>
          </w14:textFill>
        </w:rPr>
      </w:pPr>
      <w:r>
        <w:rPr>
          <w:rFonts w:hint="eastAsia"/>
          <w:b/>
          <w:bCs/>
          <w:color w:val="000000" w:themeColor="text1"/>
          <w:sz w:val="20"/>
          <w:szCs w:val="20"/>
          <w:lang w:val="en-US" w:eastAsia="zh-CN"/>
          <w14:textFill>
            <w14:solidFill>
              <w14:schemeClr w14:val="tx1"/>
            </w14:solidFill>
          </w14:textFill>
        </w:rPr>
        <w:t>For multi-carrier case from NW perspective, when there is no adjacent in-band/out-of-band co-existence issue, and when the minimum offset between UE CBW and BS RF bandwidth is no less than 1/2 UE CBW, the extended UE CBW based approach can be applied, in which, the extended UE CBW could exceed the BS CBW. The extension ratio of extended UE CBW to UE CBW is two, which can convert full RB allocation in UE CBW to new inner RB allocation.</w:t>
      </w:r>
    </w:p>
    <w:p>
      <w:pPr>
        <w:keepNext/>
        <w:keepLines w:val="0"/>
        <w:pageBreakBefore w:val="0"/>
        <w:widowControl w:val="0"/>
        <w:kinsoku/>
        <w:wordWrap/>
        <w:overflowPunct/>
        <w:topLinePunct w:val="0"/>
        <w:autoSpaceDE/>
        <w:autoSpaceDN/>
        <w:bidi w:val="0"/>
        <w:adjustRightInd/>
        <w:snapToGrid/>
        <w:textAlignment w:val="auto"/>
        <w:rPr>
          <w:rFonts w:hint="eastAsia"/>
          <w:sz w:val="20"/>
          <w:szCs w:val="20"/>
          <w:lang w:val="en-US" w:eastAsia="zh-CN"/>
        </w:rPr>
      </w:pPr>
    </w:p>
    <w:p>
      <w:pPr>
        <w:pStyle w:val="3"/>
        <w:keepNext/>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eastAsia"/>
          <w:b/>
          <w:kern w:val="0"/>
          <w:sz w:val="28"/>
          <w:szCs w:val="28"/>
          <w:highlight w:val="none"/>
          <w:lang w:val="en-US" w:eastAsia="zh-CN"/>
        </w:rPr>
      </w:pPr>
      <w:r>
        <w:rPr>
          <w:rFonts w:hint="eastAsia"/>
          <w:b/>
          <w:kern w:val="0"/>
          <w:sz w:val="28"/>
          <w:szCs w:val="28"/>
          <w:highlight w:val="none"/>
          <w:lang w:val="en-US" w:eastAsia="zh-CN"/>
        </w:rPr>
        <w:t>2.2 Consideration on requirements</w:t>
      </w:r>
    </w:p>
    <w:p>
      <w:pPr>
        <w:rPr>
          <w:rFonts w:hint="default"/>
          <w:sz w:val="18"/>
          <w:szCs w:val="16"/>
          <w:lang w:val="en-US" w:eastAsia="zh-CN"/>
        </w:rPr>
      </w:pPr>
      <w:r>
        <w:rPr>
          <w:rFonts w:hint="eastAsia"/>
          <w:b/>
          <w:kern w:val="0"/>
          <w:sz w:val="22"/>
          <w:szCs w:val="22"/>
          <w:highlight w:val="none"/>
          <w:lang w:val="en-US" w:eastAsia="zh-CN"/>
        </w:rPr>
        <w:t>In-band emissions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1-2-3: Where to use IBE in the larger BS CBW</w:t>
            </w:r>
          </w:p>
          <w:p>
            <w:pPr>
              <w:pStyle w:val="34"/>
              <w:numPr>
                <w:ilvl w:val="0"/>
                <w:numId w:val="9"/>
              </w:numPr>
              <w:overflowPunct/>
              <w:autoSpaceDE/>
              <w:autoSpaceDN/>
              <w:adjustRightIn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numPr>
                <w:ilvl w:val="1"/>
                <w:numId w:val="9"/>
              </w:numPr>
              <w:overflowPunct/>
              <w:autoSpaceDE/>
              <w:autoSpaceDN/>
              <w:adjustRightInd/>
              <w:spacing w:after="120"/>
              <w:ind w:left="144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IBE should be used between edges of UE CBW and extended UE CBW</w:t>
            </w:r>
          </w:p>
          <w:p>
            <w:pPr>
              <w:pStyle w:val="34"/>
              <w:numPr>
                <w:ilvl w:val="2"/>
                <w:numId w:val="9"/>
              </w:numPr>
              <w:overflowPunct/>
              <w:autoSpaceDE/>
              <w:autoSpaceDN/>
              <w:adjustRightInd/>
              <w:spacing w:after="120"/>
              <w:ind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FFS whether IBE could be used in the guard band of UE CBW</w:t>
            </w:r>
          </w:p>
          <w:p>
            <w:pPr>
              <w:pStyle w:val="34"/>
              <w:numPr>
                <w:ilvl w:val="2"/>
                <w:numId w:val="9"/>
              </w:numPr>
              <w:overflowPunct/>
              <w:autoSpaceDE/>
              <w:autoSpaceDN/>
              <w:adjustRightInd/>
              <w:spacing w:after="120"/>
              <w:ind w:firstLineChars="0"/>
              <w:textAlignment w:val="auto"/>
              <w:rPr>
                <w:rFonts w:eastAsia="宋体"/>
                <w:color w:val="000000" w:themeColor="text1"/>
                <w:sz w:val="20"/>
                <w:szCs w:val="20"/>
                <w:lang w:eastAsia="zh-CN"/>
                <w14:textFill>
                  <w14:solidFill>
                    <w14:schemeClr w14:val="tx1"/>
                  </w14:solidFill>
                </w14:textFill>
              </w:rPr>
            </w:pPr>
            <w:r>
              <w:rPr>
                <w:rFonts w:hint="eastAsia" w:eastAsia="宋体"/>
                <w:color w:val="000000" w:themeColor="text1"/>
                <w:sz w:val="20"/>
                <w:szCs w:val="20"/>
                <w:lang w:eastAsia="zh-CN"/>
                <w14:textFill>
                  <w14:solidFill>
                    <w14:schemeClr w14:val="tx1"/>
                  </w14:solidFill>
                </w14:textFill>
              </w:rPr>
              <w:t>F</w:t>
            </w:r>
            <w:r>
              <w:rPr>
                <w:rFonts w:eastAsia="宋体"/>
                <w:color w:val="000000" w:themeColor="text1"/>
                <w:sz w:val="20"/>
                <w:szCs w:val="20"/>
                <w:lang w:eastAsia="zh-CN"/>
                <w14:textFill>
                  <w14:solidFill>
                    <w14:schemeClr w14:val="tx1"/>
                  </w14:solidFill>
                </w14:textFill>
              </w:rPr>
              <w:t>FS the full RB allocation scenario</w:t>
            </w:r>
          </w:p>
          <w:p>
            <w:pPr>
              <w:pStyle w:val="34"/>
              <w:numPr>
                <w:ilvl w:val="2"/>
                <w:numId w:val="9"/>
              </w:numPr>
              <w:overflowPunct/>
              <w:autoSpaceDE/>
              <w:autoSpaceDN/>
              <w:adjustRightInd/>
              <w:spacing w:after="120"/>
              <w:ind w:firstLineChars="0"/>
              <w:textAlignment w:val="auto"/>
              <w:rPr>
                <w:rFonts w:hint="eastAsia" w:cs="Times New Roman"/>
                <w:sz w:val="20"/>
                <w:szCs w:val="20"/>
                <w:vertAlign w:val="baseline"/>
                <w:lang w:val="en-US" w:eastAsia="zh-CN"/>
              </w:rPr>
            </w:pPr>
            <w:r>
              <w:rPr>
                <w:rFonts w:hint="eastAsia" w:eastAsia="宋体"/>
                <w:color w:val="000000" w:themeColor="text1"/>
                <w:sz w:val="20"/>
                <w:szCs w:val="20"/>
                <w:lang w:eastAsia="zh-CN"/>
                <w14:textFill>
                  <w14:solidFill>
                    <w14:schemeClr w14:val="tx1"/>
                  </w14:solidFill>
                </w14:textFill>
              </w:rPr>
              <w:t>F</w:t>
            </w:r>
            <w:r>
              <w:rPr>
                <w:rFonts w:eastAsia="宋体"/>
                <w:color w:val="000000" w:themeColor="text1"/>
                <w:sz w:val="20"/>
                <w:szCs w:val="20"/>
                <w:lang w:eastAsia="zh-CN"/>
                <w14:textFill>
                  <w14:solidFill>
                    <w14:schemeClr w14:val="tx1"/>
                  </w14:solidFill>
                </w14:textFill>
              </w:rPr>
              <w:t>FS the impact to testability</w:t>
            </w:r>
          </w:p>
        </w:tc>
      </w:tr>
    </w:tbl>
    <w:p>
      <w:pPr>
        <w:rPr>
          <w:rFonts w:hint="default" w:cs="Times New Roman"/>
          <w:sz w:val="20"/>
          <w:szCs w:val="20"/>
          <w:lang w:val="en-US" w:eastAsia="zh-CN"/>
        </w:rPr>
      </w:pPr>
      <w:r>
        <w:rPr>
          <w:rFonts w:hint="eastAsia" w:cs="Times New Roman"/>
          <w:sz w:val="20"/>
          <w:szCs w:val="20"/>
          <w:lang w:val="en-US" w:eastAsia="zh-CN"/>
        </w:rPr>
        <w:t xml:space="preserve">According to the following equation of general requirement for in-band emissions, the limit is related to the UE channel bandwidth, allocated RB and the starting frequency offset between the allocated RB and the measured non-allocated RB. Based on the reason for limiting in band emission, the interference from UE that is received with high power at the gNB may drastically reduce the SNR for another UE that is received with weaker signal strength, and the situation improves significantly if some sort of transmit power control in the uplink is used. If IBE is used between edges of UE CBW and extended UE CBW, the general limit equation of IBE should be still based on the </w:t>
      </w:r>
      <w:r>
        <w:rPr>
          <w:rFonts w:hint="eastAsia"/>
          <w:color w:val="000000" w:themeColor="text1"/>
          <w:sz w:val="20"/>
          <w:szCs w:val="20"/>
          <w:lang w:val="en-US" w:eastAsia="zh-CN"/>
          <w14:textFill>
            <w14:solidFill>
              <w14:schemeClr w14:val="tx1"/>
            </w14:solidFill>
          </w14:textFill>
        </w:rPr>
        <w:t>UE CBW instead of</w:t>
      </w:r>
      <w:r>
        <w:rPr>
          <w:rFonts w:hint="eastAsia" w:cs="Times New Roman"/>
          <w:sz w:val="20"/>
          <w:szCs w:val="20"/>
          <w:lang w:val="en-US" w:eastAsia="zh-CN"/>
        </w:rPr>
        <w:t xml:space="preserve"> </w:t>
      </w:r>
      <w:r>
        <w:rPr>
          <w:rFonts w:eastAsia="宋体"/>
          <w:color w:val="000000" w:themeColor="text1"/>
          <w:sz w:val="20"/>
          <w:szCs w:val="20"/>
          <w:lang w:eastAsia="zh-CN"/>
          <w14:textFill>
            <w14:solidFill>
              <w14:schemeClr w14:val="tx1"/>
            </w14:solidFill>
          </w14:textFill>
        </w:rPr>
        <w:t>extended UE CBW</w:t>
      </w:r>
      <w:r>
        <w:rPr>
          <w:rFonts w:hint="eastAsia"/>
          <w:color w:val="000000" w:themeColor="text1"/>
          <w:sz w:val="20"/>
          <w:szCs w:val="20"/>
          <w:lang w:val="en-US" w:eastAsia="zh-CN"/>
          <w14:textFill>
            <w14:solidFill>
              <w14:schemeClr w14:val="tx1"/>
            </w14:solidFill>
          </w14:textFill>
        </w:rPr>
        <w:t xml:space="preserve"> since we deploy UE based on the real UE CBW rather than</w:t>
      </w:r>
      <w:r>
        <w:rPr>
          <w:rFonts w:hint="eastAsia" w:cs="Times New Roman"/>
          <w:sz w:val="20"/>
          <w:szCs w:val="20"/>
          <w:lang w:val="en-US" w:eastAsia="zh-CN"/>
        </w:rPr>
        <w:t xml:space="preserve"> </w:t>
      </w:r>
      <w:r>
        <w:rPr>
          <w:rFonts w:eastAsia="宋体"/>
          <w:color w:val="000000" w:themeColor="text1"/>
          <w:sz w:val="20"/>
          <w:szCs w:val="20"/>
          <w:lang w:eastAsia="zh-CN"/>
          <w14:textFill>
            <w14:solidFill>
              <w14:schemeClr w14:val="tx1"/>
            </w14:solidFill>
          </w14:textFill>
        </w:rPr>
        <w:t>extended UE CBW</w:t>
      </w:r>
      <w:r>
        <w:rPr>
          <w:rFonts w:hint="eastAsia"/>
          <w:color w:val="000000" w:themeColor="text1"/>
          <w:sz w:val="20"/>
          <w:szCs w:val="20"/>
          <w:lang w:val="en-US" w:eastAsia="zh-CN"/>
          <w14:textFill>
            <w14:solidFill>
              <w14:schemeClr w14:val="tx1"/>
            </w14:solidFill>
          </w14:textFill>
        </w:rPr>
        <w:t xml:space="preserve">. </w:t>
      </w:r>
    </w:p>
    <w:p>
      <w:pPr>
        <w:jc w:val="center"/>
        <w:rPr>
          <w:rFonts w:cs="Arial"/>
          <w:position w:val="-54"/>
        </w:rPr>
      </w:pPr>
      <w:r>
        <w:rPr>
          <w:rFonts w:cs="Arial"/>
          <w:position w:val="-54"/>
        </w:rPr>
        <w:object>
          <v:shape id="_x0000_i1025" o:spt="75" type="#_x0000_t75" style="height:45.8pt;width:179.8pt;" o:ole="t" filled="f" o:preferrelative="t" stroked="f" coordsize="21600,21600">
            <v:path/>
            <v:fill on="f" focussize="0,0"/>
            <v:stroke on="f" joinstyle="miter"/>
            <v:imagedata r:id="rId15" o:title=""/>
            <o:lock v:ext="edit" aspectratio="t"/>
            <w10:wrap type="none"/>
            <w10:anchorlock/>
          </v:shape>
          <o:OLEObject Type="Embed" ProgID="Equation.3" ShapeID="_x0000_i1025" DrawAspect="Content" ObjectID="_1468075725" r:id="rId14">
            <o:LockedField>false</o:LockedField>
          </o:OLEObject>
        </w:object>
      </w:r>
    </w:p>
    <w:p>
      <w:pPr>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Furthermore, the in-band emission is measured as the ratio of the UE output power in a non-allocated RB to the UE output power in an allocated RB. Given that guard band is not multiples of RB size, we think IBE can not be used in the guard band of UE CBW.</w:t>
      </w:r>
    </w:p>
    <w:p>
      <w:pPr>
        <w:rPr>
          <w:rFonts w:hint="default"/>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 xml:space="preserve">Regarding </w:t>
      </w:r>
      <w:r>
        <w:rPr>
          <w:rFonts w:hint="eastAsia" w:cs="Times New Roman"/>
          <w:sz w:val="20"/>
          <w:szCs w:val="20"/>
          <w:lang w:val="en-US" w:eastAsia="zh-CN"/>
        </w:rPr>
        <w:t xml:space="preserve">the general limit formula of IBE, when UL allocation reaches the maximum and corresponds to </w:t>
      </w:r>
      <w:r>
        <w:rPr>
          <w:rFonts w:hint="eastAsia"/>
          <w:color w:val="000000" w:themeColor="text1"/>
          <w:sz w:val="20"/>
          <w:szCs w:val="20"/>
          <w:lang w:val="en-US" w:eastAsia="zh-CN"/>
          <w14:textFill>
            <w14:solidFill>
              <w14:schemeClr w14:val="tx1"/>
            </w14:solidFill>
          </w14:textFill>
        </w:rPr>
        <w:t xml:space="preserve">the transmission bandwidth configuration of UE CBW, the first term achieves an upper limit of -25 dB, which represents a relaxation for wide allocations. From this perspective, when IBE is used between edges of UE CBW and extended UE CBW for full RB allocation, </w:t>
      </w:r>
      <w:r>
        <w:rPr>
          <w:rFonts w:hint="eastAsia"/>
          <w:i/>
          <w:iCs/>
          <w:color w:val="000000" w:themeColor="text1"/>
          <w:sz w:val="20"/>
          <w:szCs w:val="20"/>
          <w:lang w:val="en-US" w:eastAsia="zh-CN"/>
          <w14:textFill>
            <w14:solidFill>
              <w14:schemeClr w14:val="tx1"/>
            </w14:solidFill>
          </w14:textFill>
        </w:rPr>
        <w:t>N</w:t>
      </w:r>
      <w:r>
        <w:rPr>
          <w:rFonts w:hint="eastAsia"/>
          <w:i/>
          <w:iCs/>
          <w:color w:val="000000" w:themeColor="text1"/>
          <w:sz w:val="20"/>
          <w:szCs w:val="20"/>
          <w:vertAlign w:val="subscript"/>
          <w:lang w:val="en-US" w:eastAsia="zh-CN"/>
          <w14:textFill>
            <w14:solidFill>
              <w14:schemeClr w14:val="tx1"/>
            </w14:solidFill>
          </w14:textFill>
        </w:rPr>
        <w:t>RB</w:t>
      </w:r>
      <w:r>
        <w:rPr>
          <w:rFonts w:hint="eastAsia"/>
          <w:color w:val="000000" w:themeColor="text1"/>
          <w:sz w:val="20"/>
          <w:szCs w:val="20"/>
          <w:lang w:val="en-US" w:eastAsia="zh-CN"/>
          <w14:textFill>
            <w14:solidFill>
              <w14:schemeClr w14:val="tx1"/>
            </w14:solidFill>
          </w14:textFill>
        </w:rPr>
        <w:t xml:space="preserve"> and </w:t>
      </w:r>
      <w:r>
        <w:rPr>
          <w:rFonts w:hint="eastAsia"/>
          <w:i/>
          <w:iCs/>
          <w:color w:val="000000" w:themeColor="text1"/>
          <w:sz w:val="20"/>
          <w:szCs w:val="20"/>
          <w:lang w:val="en-US" w:eastAsia="zh-CN"/>
          <w14:textFill>
            <w14:solidFill>
              <w14:schemeClr w14:val="tx1"/>
            </w14:solidFill>
          </w14:textFill>
        </w:rPr>
        <w:t>L</w:t>
      </w:r>
      <w:r>
        <w:rPr>
          <w:rFonts w:hint="eastAsia"/>
          <w:i/>
          <w:iCs/>
          <w:color w:val="000000" w:themeColor="text1"/>
          <w:sz w:val="20"/>
          <w:szCs w:val="20"/>
          <w:vertAlign w:val="subscript"/>
          <w:lang w:val="en-US" w:eastAsia="zh-CN"/>
          <w14:textFill>
            <w14:solidFill>
              <w14:schemeClr w14:val="tx1"/>
            </w14:solidFill>
          </w14:textFill>
        </w:rPr>
        <w:t>CRB</w:t>
      </w:r>
      <w:r>
        <w:rPr>
          <w:rFonts w:hint="eastAsia"/>
          <w:color w:val="000000" w:themeColor="text1"/>
          <w:sz w:val="20"/>
          <w:szCs w:val="20"/>
          <w:lang w:val="en-US" w:eastAsia="zh-CN"/>
          <w14:textFill>
            <w14:solidFill>
              <w14:schemeClr w14:val="tx1"/>
            </w14:solidFill>
          </w14:textFill>
        </w:rPr>
        <w:t xml:space="preserve"> all corresponds to the transmission bandwidth configuration of UE CBW, the limit of -25 dB should be used as general IBE requirement between edges of UE CBW and extended UE CBW.</w:t>
      </w:r>
    </w:p>
    <w:p>
      <w:pPr>
        <w:rPr>
          <w:rFonts w:hint="eastAsia"/>
          <w:b/>
          <w:bCs/>
          <w:i w:val="0"/>
          <w:iCs w:val="0"/>
          <w:sz w:val="20"/>
          <w:szCs w:val="20"/>
          <w:lang w:val="en-US" w:eastAsia="zh-CN"/>
        </w:rPr>
      </w:pPr>
      <w:r>
        <w:rPr>
          <w:rFonts w:hint="eastAsia"/>
          <w:b/>
          <w:bCs/>
          <w:i w:val="0"/>
          <w:iCs w:val="0"/>
          <w:sz w:val="20"/>
          <w:szCs w:val="20"/>
          <w:lang w:val="en-US" w:eastAsia="zh-CN"/>
        </w:rPr>
        <w:t>Proposal 2: IBE should be used between edges of UE CBW and extended UE CBW</w:t>
      </w:r>
    </w:p>
    <w:p>
      <w:pPr>
        <w:pStyle w:val="34"/>
        <w:keepNext w:val="0"/>
        <w:keepLines w:val="0"/>
        <w:pageBreakBefore w:val="0"/>
        <w:widowControl/>
        <w:numPr>
          <w:ilvl w:val="2"/>
          <w:numId w:val="9"/>
        </w:numPr>
        <w:kinsoku/>
        <w:wordWrap/>
        <w:overflowPunct/>
        <w:topLinePunct w:val="0"/>
        <w:autoSpaceDE/>
        <w:autoSpaceDN/>
        <w:bidi w:val="0"/>
        <w:adjustRightInd/>
        <w:snapToGrid/>
        <w:spacing w:after="120"/>
        <w:ind w:left="363" w:hanging="363" w:firstLineChars="0"/>
        <w:textAlignment w:val="auto"/>
        <w:rPr>
          <w:rFonts w:hint="eastAsia"/>
          <w:b/>
          <w:bCs/>
          <w:i w:val="0"/>
          <w:iCs w:val="0"/>
          <w:sz w:val="20"/>
          <w:szCs w:val="20"/>
          <w:lang w:val="en-US" w:eastAsia="zh-CN"/>
        </w:rPr>
      </w:pPr>
      <w:r>
        <w:rPr>
          <w:rFonts w:hint="eastAsia"/>
          <w:b/>
          <w:bCs/>
          <w:i w:val="0"/>
          <w:iCs w:val="0"/>
          <w:sz w:val="20"/>
          <w:szCs w:val="20"/>
          <w:lang w:val="en-US" w:eastAsia="zh-CN"/>
        </w:rPr>
        <w:t>The general limit equation of IBE should be still based on the UE CBW instead of extended UE CBW</w:t>
      </w:r>
    </w:p>
    <w:p>
      <w:pPr>
        <w:pStyle w:val="34"/>
        <w:keepNext w:val="0"/>
        <w:keepLines w:val="0"/>
        <w:pageBreakBefore w:val="0"/>
        <w:widowControl/>
        <w:numPr>
          <w:ilvl w:val="2"/>
          <w:numId w:val="9"/>
        </w:numPr>
        <w:kinsoku/>
        <w:wordWrap/>
        <w:overflowPunct/>
        <w:topLinePunct w:val="0"/>
        <w:autoSpaceDE/>
        <w:autoSpaceDN/>
        <w:bidi w:val="0"/>
        <w:adjustRightInd/>
        <w:snapToGrid/>
        <w:spacing w:after="120"/>
        <w:ind w:left="363" w:hanging="363" w:firstLineChars="0"/>
        <w:textAlignment w:val="auto"/>
        <w:rPr>
          <w:rFonts w:hint="eastAsia"/>
          <w:b/>
          <w:bCs/>
          <w:i w:val="0"/>
          <w:iCs w:val="0"/>
          <w:sz w:val="20"/>
          <w:szCs w:val="20"/>
          <w:lang w:val="en-US" w:eastAsia="zh-CN"/>
        </w:rPr>
      </w:pPr>
      <w:r>
        <w:rPr>
          <w:rFonts w:hint="eastAsia"/>
          <w:b/>
          <w:bCs/>
          <w:i w:val="0"/>
          <w:iCs w:val="0"/>
          <w:sz w:val="20"/>
          <w:szCs w:val="20"/>
          <w:lang w:val="en-US" w:eastAsia="zh-CN"/>
        </w:rPr>
        <w:t>IBE can not be used in the guard band of UE CBW</w:t>
      </w:r>
    </w:p>
    <w:p>
      <w:pPr>
        <w:pStyle w:val="34"/>
        <w:keepNext w:val="0"/>
        <w:keepLines w:val="0"/>
        <w:pageBreakBefore w:val="0"/>
        <w:widowControl/>
        <w:numPr>
          <w:ilvl w:val="2"/>
          <w:numId w:val="9"/>
        </w:numPr>
        <w:kinsoku/>
        <w:wordWrap/>
        <w:overflowPunct/>
        <w:topLinePunct w:val="0"/>
        <w:autoSpaceDE/>
        <w:autoSpaceDN/>
        <w:bidi w:val="0"/>
        <w:adjustRightInd/>
        <w:snapToGrid/>
        <w:spacing w:after="120"/>
        <w:ind w:left="363" w:hanging="363" w:firstLineChars="0"/>
        <w:textAlignment w:val="auto"/>
        <w:rPr>
          <w:rFonts w:hint="eastAsia"/>
          <w:b/>
          <w:bCs/>
          <w:i w:val="0"/>
          <w:iCs w:val="0"/>
          <w:sz w:val="20"/>
          <w:szCs w:val="20"/>
          <w:lang w:val="en-US" w:eastAsia="zh-CN"/>
        </w:rPr>
      </w:pPr>
      <w:r>
        <w:rPr>
          <w:rFonts w:hint="eastAsia"/>
          <w:b/>
          <w:bCs/>
          <w:i w:val="0"/>
          <w:iCs w:val="0"/>
          <w:sz w:val="20"/>
          <w:szCs w:val="20"/>
          <w:lang w:val="en-US" w:eastAsia="zh-CN"/>
        </w:rPr>
        <w:t>Extend the IBE limit in the outermost RB of UE CBW to the range between edges of UE CBW and extended UE CBW for non-full RB allocation scenario</w:t>
      </w:r>
    </w:p>
    <w:p>
      <w:pPr>
        <w:pStyle w:val="34"/>
        <w:keepNext w:val="0"/>
        <w:keepLines w:val="0"/>
        <w:pageBreakBefore w:val="0"/>
        <w:widowControl/>
        <w:numPr>
          <w:ilvl w:val="2"/>
          <w:numId w:val="9"/>
        </w:numPr>
        <w:kinsoku/>
        <w:wordWrap/>
        <w:overflowPunct/>
        <w:topLinePunct w:val="0"/>
        <w:autoSpaceDE/>
        <w:autoSpaceDN/>
        <w:bidi w:val="0"/>
        <w:adjustRightInd/>
        <w:snapToGrid/>
        <w:spacing w:after="120"/>
        <w:ind w:left="363" w:hanging="363" w:firstLineChars="0"/>
        <w:textAlignment w:val="auto"/>
        <w:rPr>
          <w:rFonts w:hint="eastAsia"/>
          <w:b/>
          <w:bCs/>
          <w:i w:val="0"/>
          <w:iCs w:val="0"/>
          <w:sz w:val="20"/>
          <w:szCs w:val="20"/>
          <w:lang w:val="en-US" w:eastAsia="zh-CN"/>
        </w:rPr>
      </w:pPr>
      <w:r>
        <w:rPr>
          <w:rFonts w:hint="eastAsia"/>
          <w:b/>
          <w:bCs/>
          <w:i w:val="0"/>
          <w:iCs w:val="0"/>
          <w:sz w:val="20"/>
          <w:szCs w:val="20"/>
          <w:lang w:val="en-US" w:eastAsia="zh-CN"/>
        </w:rPr>
        <w:t>Use the IBE limit of -25 dB between edges of UE CBW and extended UE CBW for full RB allocation scenario</w:t>
      </w:r>
    </w:p>
    <w:p>
      <w:pPr>
        <w:rPr>
          <w:rFonts w:hint="eastAsia"/>
          <w:sz w:val="20"/>
          <w:szCs w:val="20"/>
          <w:lang w:val="en-US" w:eastAsia="zh-CN"/>
        </w:rPr>
      </w:pPr>
    </w:p>
    <w:p>
      <w:pPr>
        <w:rPr>
          <w:rFonts w:hint="eastAsia"/>
          <w:sz w:val="20"/>
          <w:szCs w:val="20"/>
          <w:lang w:val="en-US" w:eastAsia="zh-CN"/>
        </w:rPr>
      </w:pPr>
    </w:p>
    <w:p>
      <w:pPr>
        <w:rPr>
          <w:rFonts w:hint="default"/>
          <w:sz w:val="22"/>
          <w:szCs w:val="22"/>
          <w:lang w:val="en-US" w:eastAsia="zh-CN"/>
        </w:rPr>
      </w:pPr>
      <w:r>
        <w:rPr>
          <w:rFonts w:hint="eastAsia"/>
          <w:b/>
          <w:kern w:val="0"/>
          <w:sz w:val="22"/>
          <w:szCs w:val="22"/>
          <w:highlight w:val="none"/>
          <w:lang w:val="en-US" w:eastAsia="zh-CN"/>
        </w:rPr>
        <w:t>ACLR, SEM, SE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1-2-4: Boundary to apply ACLR and SEM</w:t>
            </w:r>
          </w:p>
          <w:p>
            <w:pPr>
              <w:pStyle w:val="34"/>
              <w:numPr>
                <w:ilvl w:val="0"/>
                <w:numId w:val="9"/>
              </w:numPr>
              <w:overflowPunct/>
              <w:autoSpaceDE/>
              <w:autoSpaceDN/>
              <w:adjustRightInd/>
              <w:spacing w:before="120" w:beforeLines="50" w:after="0"/>
              <w:ind w:left="714" w:hanging="357"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Proposals </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 1: ACLR and SEM should be applicable from the edge of extended UE CBW instead of the BS CBW. </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 2: ACLR, SEM and spurious emissions would be defined based on BS channel bandwidth. </w:t>
            </w:r>
          </w:p>
          <w:p>
            <w:pPr>
              <w:pStyle w:val="34"/>
              <w:numPr>
                <w:ilvl w:val="0"/>
                <w:numId w:val="9"/>
              </w:numPr>
              <w:overflowPunct/>
              <w:autoSpaceDE/>
              <w:autoSpaceDN/>
              <w:adjustRightIn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numPr>
                <w:ilvl w:val="1"/>
                <w:numId w:val="9"/>
              </w:numPr>
              <w:overflowPunct/>
              <w:autoSpaceDE/>
              <w:autoSpaceDN/>
              <w:adjustRightInd/>
              <w:spacing w:after="120"/>
              <w:ind w:left="144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FFS in next meeting</w:t>
            </w:r>
          </w:p>
          <w:p>
            <w:pPr>
              <w:pStyle w:val="34"/>
              <w:numPr>
                <w:ilvl w:val="2"/>
                <w:numId w:val="9"/>
              </w:numPr>
              <w:overflowPunct/>
              <w:autoSpaceDE/>
              <w:autoSpaceDN/>
              <w:adjustRightInd/>
              <w:spacing w:after="120"/>
              <w:ind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ITU regulation of 250% necessary bandwidth should be considered in further analysis</w:t>
            </w:r>
          </w:p>
          <w:p>
            <w:pPr>
              <w:overflowPunct w:val="0"/>
              <w:autoSpaceDE w:val="0"/>
              <w:autoSpaceDN w:val="0"/>
              <w:adjustRightInd w:val="0"/>
              <w:spacing w:after="120"/>
              <w:textAlignment w:val="baseline"/>
              <w:rPr>
                <w:color w:val="000000" w:themeColor="text1"/>
                <w:sz w:val="20"/>
                <w:szCs w:val="20"/>
                <w:lang w:eastAsia="zh-CN"/>
                <w14:textFill>
                  <w14:solidFill>
                    <w14:schemeClr w14:val="tx1"/>
                  </w14:solidFill>
                </w14:textFill>
              </w:rPr>
            </w:pPr>
          </w:p>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1-2-5: Boundary to apply SE</w:t>
            </w:r>
          </w:p>
          <w:p>
            <w:pPr>
              <w:pStyle w:val="34"/>
              <w:numPr>
                <w:ilvl w:val="0"/>
                <w:numId w:val="9"/>
              </w:numPr>
              <w:overflowPunct/>
              <w:autoSpaceDE/>
              <w:autoSpaceDN/>
              <w:adjustRightInd/>
              <w:spacing w:before="120" w:beforeLines="50" w:after="0"/>
              <w:ind w:left="714" w:hanging="357"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Proposals </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 1: The application range of SE should be altered with the shifting of the edge of the UE CBW. </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2: SE is applied at BS channel bandwidth.</w:t>
            </w:r>
          </w:p>
          <w:p>
            <w:pPr>
              <w:pStyle w:val="34"/>
              <w:numPr>
                <w:ilvl w:val="0"/>
                <w:numId w:val="9"/>
              </w:numPr>
              <w:overflowPunct/>
              <w:autoSpaceDE/>
              <w:autoSpaceDN/>
              <w:adjustRightIn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numPr>
                <w:ilvl w:val="1"/>
                <w:numId w:val="9"/>
              </w:numPr>
              <w:overflowPunct/>
              <w:autoSpaceDE/>
              <w:autoSpaceDN/>
              <w:adjustRightInd/>
              <w:spacing w:after="120"/>
              <w:ind w:left="144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FFS in next meeting</w:t>
            </w:r>
          </w:p>
          <w:p>
            <w:pPr>
              <w:pStyle w:val="34"/>
              <w:numPr>
                <w:ilvl w:val="2"/>
                <w:numId w:val="9"/>
              </w:numPr>
              <w:overflowPunct/>
              <w:autoSpaceDE/>
              <w:autoSpaceDN/>
              <w:adjustRightInd/>
              <w:spacing w:after="120"/>
              <w:ind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ITU regulation of 250% necessary bandwidth should be considered in further analysis</w:t>
            </w:r>
          </w:p>
          <w:p>
            <w:pPr>
              <w:overflowPunct w:val="0"/>
              <w:autoSpaceDE w:val="0"/>
              <w:autoSpaceDN w:val="0"/>
              <w:adjustRightInd w:val="0"/>
              <w:spacing w:after="120"/>
              <w:textAlignment w:val="baseline"/>
              <w:rPr>
                <w:color w:val="000000" w:themeColor="text1"/>
                <w:sz w:val="20"/>
                <w:szCs w:val="20"/>
                <w:lang w:eastAsia="zh-CN"/>
                <w14:textFill>
                  <w14:solidFill>
                    <w14:schemeClr w14:val="tx1"/>
                  </w14:solidFill>
                </w14:textFill>
              </w:rPr>
            </w:pPr>
          </w:p>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1-2-6: Which CBW is utilized as the basis for the OOBE requirement and the applicable boundary</w:t>
            </w:r>
          </w:p>
          <w:p>
            <w:pPr>
              <w:pStyle w:val="34"/>
              <w:numPr>
                <w:ilvl w:val="0"/>
                <w:numId w:val="9"/>
              </w:numPr>
              <w:overflowPunct/>
              <w:autoSpaceDE/>
              <w:autoSpaceDN/>
              <w:adjustRightInd/>
              <w:spacing w:before="120" w:beforeLines="50" w:after="0"/>
              <w:ind w:left="714" w:hanging="357"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Proposals </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 1: The OOBE requirement and applicable boundary should be based on UE CBW. </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 2: The OOBE requirement and applicable boundary is based on BS CBW. </w:t>
            </w:r>
          </w:p>
          <w:p>
            <w:pPr>
              <w:pStyle w:val="34"/>
              <w:numPr>
                <w:ilvl w:val="0"/>
                <w:numId w:val="9"/>
              </w:numPr>
              <w:overflowPunct/>
              <w:autoSpaceDE/>
              <w:autoSpaceDN/>
              <w:adjustRightIn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numPr>
                <w:ilvl w:val="1"/>
                <w:numId w:val="9"/>
              </w:numPr>
              <w:overflowPunct/>
              <w:autoSpaceDE/>
              <w:autoSpaceDN/>
              <w:adjustRightInd/>
              <w:spacing w:after="120"/>
              <w:ind w:left="144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FFS in next meeting</w:t>
            </w:r>
          </w:p>
          <w:p>
            <w:pPr>
              <w:pStyle w:val="34"/>
              <w:numPr>
                <w:ilvl w:val="0"/>
                <w:numId w:val="0"/>
              </w:numPr>
              <w:overflowPunct/>
              <w:autoSpaceDE/>
              <w:autoSpaceDN/>
              <w:adjustRightInd/>
              <w:spacing w:after="120"/>
              <w:textAlignment w:val="auto"/>
              <w:rPr>
                <w:rFonts w:hint="eastAsia" w:cs="Times New Roman"/>
                <w:sz w:val="20"/>
                <w:szCs w:val="20"/>
                <w:vertAlign w:val="baseline"/>
                <w:lang w:val="en-US" w:eastAsia="zh-CN"/>
              </w:rPr>
            </w:pPr>
          </w:p>
        </w:tc>
      </w:tr>
    </w:tbl>
    <w:p>
      <w:pPr>
        <w:rPr>
          <w:rFonts w:hint="eastAsia"/>
          <w:color w:val="000000" w:themeColor="text1"/>
          <w:sz w:val="20"/>
          <w:szCs w:val="20"/>
          <w:lang w:val="en-US" w:eastAsia="zh-CN"/>
          <w14:textFill>
            <w14:solidFill>
              <w14:schemeClr w14:val="tx1"/>
            </w14:solidFill>
          </w14:textFill>
        </w:rPr>
      </w:pPr>
      <w:r>
        <w:rPr>
          <w:rFonts w:hint="eastAsia" w:cs="Times New Roman"/>
          <w:kern w:val="2"/>
          <w:sz w:val="20"/>
          <w:szCs w:val="20"/>
          <w:lang w:val="en-US" w:eastAsia="zh-CN" w:bidi="ar-SA"/>
        </w:rPr>
        <w:t>According to the principle stated in ITU-R SM.329,</w:t>
      </w:r>
      <w:r>
        <w:rPr>
          <w:rFonts w:hint="eastAsia" w:ascii="Times New Roman" w:hAnsi="Times New Roman" w:eastAsia="宋体" w:cs="Times New Roman"/>
          <w:kern w:val="2"/>
          <w:sz w:val="20"/>
          <w:szCs w:val="20"/>
          <w:lang w:val="en-US" w:eastAsia="zh-CN" w:bidi="ar-SA"/>
        </w:rPr>
        <w:t xml:space="preserve"> the spurious domain generally consists of frequencies separated from the centre frequency of the emission by 250% of the necessary bandwidth of the emission</w:t>
      </w:r>
      <w:r>
        <w:rPr>
          <w:rFonts w:hint="eastAsia" w:cs="Times New Roman"/>
          <w:kern w:val="2"/>
          <w:sz w:val="20"/>
          <w:szCs w:val="20"/>
          <w:lang w:val="en-US" w:eastAsia="zh-CN" w:bidi="ar-SA"/>
        </w:rPr>
        <w:t>, If we take 250%  necessary bandwidth into consideration,</w:t>
      </w:r>
      <w:r>
        <w:rPr>
          <w:rFonts w:hint="eastAsia" w:ascii="Times New Roman" w:hAnsi="Times New Roman" w:eastAsia="宋体" w:cs="Times New Roman"/>
          <w:kern w:val="2"/>
          <w:sz w:val="20"/>
          <w:szCs w:val="20"/>
          <w:lang w:val="en-US" w:eastAsia="zh-CN" w:bidi="ar-SA"/>
        </w:rPr>
        <w:t xml:space="preserve"> </w:t>
      </w:r>
      <w:r>
        <w:rPr>
          <w:rFonts w:hint="eastAsia" w:cs="Times New Roman"/>
          <w:kern w:val="2"/>
          <w:sz w:val="20"/>
          <w:szCs w:val="20"/>
          <w:lang w:val="en-US" w:eastAsia="zh-CN" w:bidi="ar-SA"/>
        </w:rPr>
        <w:t xml:space="preserve">comparing </w:t>
      </w:r>
      <w:r>
        <w:rPr>
          <w:rFonts w:hint="eastAsia"/>
          <w:sz w:val="20"/>
          <w:szCs w:val="20"/>
          <w:lang w:val="en-US" w:eastAsia="zh-CN"/>
        </w:rPr>
        <w:t xml:space="preserve">the difference of OOB boundary between 3GPP and ITU, </w:t>
      </w:r>
      <w:r>
        <w:rPr>
          <w:rFonts w:hint="eastAsia" w:cs="Times New Roman"/>
          <w:kern w:val="2"/>
          <w:sz w:val="20"/>
          <w:szCs w:val="20"/>
          <w:lang w:val="en-US" w:eastAsia="zh-CN" w:bidi="ar-SA"/>
        </w:rPr>
        <w:t xml:space="preserve">there are </w:t>
      </w:r>
      <w:r>
        <w:rPr>
          <w:rFonts w:hint="eastAsia"/>
          <w:sz w:val="20"/>
          <w:szCs w:val="20"/>
          <w:lang w:val="en-US" w:eastAsia="zh-CN"/>
        </w:rPr>
        <w:t xml:space="preserve">1/2 UE CBW and even more OOB boundary can be relaxed. Hence, </w:t>
      </w:r>
      <w:r>
        <w:rPr>
          <w:rFonts w:eastAsia="宋体"/>
          <w:color w:val="000000" w:themeColor="text1"/>
          <w:sz w:val="20"/>
          <w:szCs w:val="20"/>
          <w:lang w:eastAsia="zh-CN"/>
          <w14:textFill>
            <w14:solidFill>
              <w14:schemeClr w14:val="tx1"/>
            </w14:solidFill>
          </w14:textFill>
        </w:rPr>
        <w:t xml:space="preserve">ACLR and SEM </w:t>
      </w:r>
      <w:r>
        <w:rPr>
          <w:rFonts w:hint="eastAsia"/>
          <w:color w:val="000000" w:themeColor="text1"/>
          <w:sz w:val="20"/>
          <w:szCs w:val="20"/>
          <w:lang w:val="en-US" w:eastAsia="zh-CN"/>
          <w14:textFill>
            <w14:solidFill>
              <w14:schemeClr w14:val="tx1"/>
            </w14:solidFill>
          </w14:textFill>
        </w:rPr>
        <w:t>can</w:t>
      </w:r>
      <w:r>
        <w:rPr>
          <w:rFonts w:eastAsia="宋体"/>
          <w:color w:val="000000" w:themeColor="text1"/>
          <w:sz w:val="20"/>
          <w:szCs w:val="20"/>
          <w:lang w:eastAsia="zh-CN"/>
          <w14:textFill>
            <w14:solidFill>
              <w14:schemeClr w14:val="tx1"/>
            </w14:solidFill>
          </w14:textFill>
        </w:rPr>
        <w:t xml:space="preserve"> be applicable from the edge of extended UE CBW</w:t>
      </w:r>
      <w:r>
        <w:rPr>
          <w:rFonts w:hint="eastAsia"/>
          <w:color w:val="000000" w:themeColor="text1"/>
          <w:sz w:val="20"/>
          <w:szCs w:val="20"/>
          <w:lang w:val="en-US" w:eastAsia="zh-CN"/>
          <w14:textFill>
            <w14:solidFill>
              <w14:schemeClr w14:val="tx1"/>
            </w14:solidFill>
          </w14:textFill>
        </w:rPr>
        <w:t xml:space="preserve"> and the OOBE requirement and applicable boundary should be based on UE CBW, which represents </w:t>
      </w:r>
      <w:r>
        <w:rPr>
          <w:rFonts w:hint="eastAsia"/>
          <w:sz w:val="20"/>
          <w:szCs w:val="20"/>
          <w:lang w:val="en-US" w:eastAsia="zh-CN"/>
        </w:rPr>
        <w:t>OOB boundary is relaxed by 1/2 UE CBW</w:t>
      </w:r>
      <w:r>
        <w:rPr>
          <w:rFonts w:hint="eastAsia"/>
          <w:color w:val="000000" w:themeColor="text1"/>
          <w:sz w:val="20"/>
          <w:szCs w:val="20"/>
          <w:lang w:val="en-US" w:eastAsia="zh-CN"/>
          <w14:textFill>
            <w14:solidFill>
              <w14:schemeClr w14:val="tx1"/>
            </w14:solidFill>
          </w14:textFill>
        </w:rPr>
        <w:t xml:space="preserve">. </w:t>
      </w:r>
    </w:p>
    <w:p>
      <w:pPr>
        <w:rPr>
          <w:rFonts w:hint="default" w:cs="Times New Roman"/>
          <w:kern w:val="2"/>
          <w:sz w:val="20"/>
          <w:szCs w:val="20"/>
          <w:lang w:val="en-US" w:eastAsia="zh-CN" w:bidi="ar-SA"/>
        </w:rPr>
      </w:pPr>
      <w:r>
        <w:rPr>
          <w:rFonts w:hint="eastAsia"/>
          <w:sz w:val="20"/>
          <w:szCs w:val="20"/>
          <w:lang w:val="en-US" w:eastAsia="zh-CN"/>
        </w:rPr>
        <w:t>However, if ACLR and SEM are applied from the edge of BS CBW, for RedCap UE operating with 20MHz channel bandwidth located at the center of 100MHz BS channel bandwidth, ACLR and SEM will apply from the edge of 100MHz BS channel bandwidth, it means spurious emission boundary will relax 40MHz, which will be looser than the requirement specified in ITU.</w:t>
      </w:r>
    </w:p>
    <w:p>
      <w:pPr>
        <w:rPr>
          <w:rFonts w:hint="eastAsia"/>
          <w:b/>
          <w:bCs/>
          <w:i w:val="0"/>
          <w:iCs w:val="0"/>
          <w:sz w:val="20"/>
          <w:szCs w:val="20"/>
          <w:lang w:val="en-US" w:eastAsia="zh-CN"/>
        </w:rPr>
      </w:pPr>
      <w:r>
        <w:rPr>
          <w:rFonts w:hint="eastAsia"/>
          <w:b/>
          <w:bCs/>
          <w:i w:val="0"/>
          <w:iCs w:val="0"/>
          <w:sz w:val="20"/>
          <w:szCs w:val="20"/>
          <w:lang w:val="en-US" w:eastAsia="zh-CN"/>
        </w:rPr>
        <w:t xml:space="preserve">Proposal 3: ACLR and SEM should be applicable from the edge of extended UE CBW instead of the BS CBW. </w:t>
      </w:r>
    </w:p>
    <w:p>
      <w:pPr>
        <w:rPr>
          <w:rFonts w:hint="default"/>
          <w:b/>
          <w:bCs/>
          <w:i w:val="0"/>
          <w:iCs w:val="0"/>
          <w:sz w:val="20"/>
          <w:szCs w:val="20"/>
          <w:lang w:val="en-US" w:eastAsia="zh-CN"/>
        </w:rPr>
      </w:pPr>
      <w:r>
        <w:rPr>
          <w:rFonts w:hint="eastAsia"/>
          <w:b/>
          <w:bCs/>
          <w:i w:val="0"/>
          <w:iCs w:val="0"/>
          <w:sz w:val="20"/>
          <w:szCs w:val="20"/>
          <w:lang w:val="en-US" w:eastAsia="zh-CN"/>
        </w:rPr>
        <w:t>Proposal 4: The application range of SE should be altered with the shifting of the edge of the UE CBW.</w:t>
      </w:r>
    </w:p>
    <w:p>
      <w:pPr>
        <w:rPr>
          <w:rFonts w:hint="default"/>
          <w:b/>
          <w:bCs/>
          <w:i w:val="0"/>
          <w:iCs w:val="0"/>
          <w:sz w:val="20"/>
          <w:szCs w:val="20"/>
          <w:lang w:val="en-US" w:eastAsia="zh-CN"/>
        </w:rPr>
      </w:pPr>
      <w:r>
        <w:rPr>
          <w:rFonts w:hint="eastAsia"/>
          <w:b/>
          <w:bCs/>
          <w:i w:val="0"/>
          <w:iCs w:val="0"/>
          <w:sz w:val="20"/>
          <w:szCs w:val="20"/>
          <w:lang w:val="en-US" w:eastAsia="zh-CN"/>
        </w:rPr>
        <w:t>Proposal 5: The OOBE requirement and applicable boundary should be based on UE CBW.</w:t>
      </w:r>
    </w:p>
    <w:p>
      <w:pPr>
        <w:rPr>
          <w:rFonts w:hint="eastAsia"/>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power boosting and/or MPR reduction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keepNext/>
        <w:keepLines w:val="0"/>
        <w:pageBreakBefore w:val="0"/>
        <w:widowControl w:val="0"/>
        <w:kinsoku/>
        <w:wordWrap/>
        <w:overflowPunct/>
        <w:topLinePunct w:val="0"/>
        <w:autoSpaceDE/>
        <w:autoSpaceDN/>
        <w:bidi w:val="0"/>
        <w:adjustRightInd/>
        <w:snapToGrid/>
        <w:textAlignment w:val="auto"/>
        <w:rPr>
          <w:rFonts w:hint="default"/>
          <w:color w:val="000000" w:themeColor="text1"/>
          <w:sz w:val="20"/>
          <w:szCs w:val="20"/>
          <w:lang w:val="en-US" w:eastAsia="zh-CN"/>
          <w14:textFill>
            <w14:solidFill>
              <w14:schemeClr w14:val="tx1"/>
            </w14:solidFill>
          </w14:textFill>
        </w:rPr>
      </w:pPr>
      <w:r>
        <w:rPr>
          <w:rFonts w:hint="eastAsia"/>
          <w:b/>
          <w:bCs/>
          <w:i w:val="0"/>
          <w:iCs w:val="0"/>
          <w:sz w:val="20"/>
          <w:szCs w:val="20"/>
          <w:lang w:val="en-US" w:eastAsia="zh-CN"/>
        </w:rPr>
        <w:t>Proposal 1: As long as one of the scenarios is met, the extended UE CBW based approach can be applied, and the details are as follows.</w:t>
      </w:r>
    </w:p>
    <w:p>
      <w:pPr>
        <w:keepNext/>
        <w:keepLines w:val="0"/>
        <w:pageBreakBefore w:val="0"/>
        <w:widowControl w:val="0"/>
        <w:numPr>
          <w:ilvl w:val="0"/>
          <w:numId w:val="10"/>
        </w:numPr>
        <w:kinsoku/>
        <w:wordWrap/>
        <w:overflowPunct/>
        <w:topLinePunct w:val="0"/>
        <w:autoSpaceDE/>
        <w:autoSpaceDN/>
        <w:bidi w:val="0"/>
        <w:adjustRightInd/>
        <w:snapToGrid/>
        <w:ind w:left="420" w:leftChars="0" w:hanging="420" w:firstLineChars="0"/>
        <w:textAlignment w:val="auto"/>
        <w:rPr>
          <w:rFonts w:hint="default"/>
          <w:b/>
          <w:bCs/>
          <w:color w:val="000000" w:themeColor="text1"/>
          <w:sz w:val="20"/>
          <w:szCs w:val="20"/>
          <w:lang w:val="en-US" w:eastAsia="zh-CN"/>
          <w14:textFill>
            <w14:solidFill>
              <w14:schemeClr w14:val="tx1"/>
            </w14:solidFill>
          </w14:textFill>
        </w:rPr>
      </w:pPr>
      <w:r>
        <w:rPr>
          <w:rFonts w:hint="eastAsia"/>
          <w:b/>
          <w:bCs/>
          <w:color w:val="000000" w:themeColor="text1"/>
          <w:sz w:val="20"/>
          <w:szCs w:val="20"/>
          <w:lang w:val="en-US" w:eastAsia="zh-CN"/>
          <w14:textFill>
            <w14:solidFill>
              <w14:schemeClr w14:val="tx1"/>
            </w14:solidFill>
          </w14:textFill>
        </w:rPr>
        <w:t>For single carrier operation from NW perspective, if the minimum offset between UE CBW and BS CBW is larger than or equal to 1/2 UE CBW, the extended UE CBW based approach can be applied. The extension ratio of extended UE CBW to UE CBW is two, which can convert full RB allocation in UE CBW to new inner RB allocation.</w:t>
      </w:r>
    </w:p>
    <w:p>
      <w:pPr>
        <w:keepNext/>
        <w:keepLines w:val="0"/>
        <w:pageBreakBefore w:val="0"/>
        <w:widowControl w:val="0"/>
        <w:numPr>
          <w:ilvl w:val="0"/>
          <w:numId w:val="10"/>
        </w:numPr>
        <w:kinsoku/>
        <w:wordWrap/>
        <w:overflowPunct/>
        <w:topLinePunct w:val="0"/>
        <w:autoSpaceDE/>
        <w:autoSpaceDN/>
        <w:bidi w:val="0"/>
        <w:adjustRightInd/>
        <w:snapToGrid/>
        <w:ind w:left="420" w:leftChars="0" w:hanging="420" w:firstLineChars="0"/>
        <w:textAlignment w:val="auto"/>
        <w:rPr>
          <w:rFonts w:hint="default"/>
          <w:b/>
          <w:bCs/>
          <w:color w:val="000000" w:themeColor="text1"/>
          <w:sz w:val="20"/>
          <w:szCs w:val="20"/>
          <w:lang w:val="en-US" w:eastAsia="zh-CN"/>
          <w14:textFill>
            <w14:solidFill>
              <w14:schemeClr w14:val="tx1"/>
            </w14:solidFill>
          </w14:textFill>
        </w:rPr>
      </w:pPr>
      <w:r>
        <w:rPr>
          <w:rFonts w:hint="eastAsia"/>
          <w:b/>
          <w:bCs/>
          <w:color w:val="000000" w:themeColor="text1"/>
          <w:sz w:val="20"/>
          <w:szCs w:val="20"/>
          <w:lang w:val="en-US" w:eastAsia="zh-CN"/>
          <w14:textFill>
            <w14:solidFill>
              <w14:schemeClr w14:val="tx1"/>
            </w14:solidFill>
          </w14:textFill>
        </w:rPr>
        <w:t>For multi-carrier case from NW perspective, when there is no adjacent in-band/out-of-band co-existence issue, and when the minimum offset between UE CBW and BS RF bandwidth is no less than 1/2 UE CBW, the extended UE CBW based approach can be applied, in which, the extended UE CBW could exceed the BS CBW. The extension ratio of extended UE CBW to UE CBW is two, which can convert full RB allocation in UE CBW to new inner RB allocation.</w:t>
      </w:r>
    </w:p>
    <w:p>
      <w:pPr>
        <w:rPr>
          <w:rFonts w:hint="eastAsia"/>
          <w:b/>
          <w:bCs/>
          <w:i w:val="0"/>
          <w:iCs w:val="0"/>
          <w:sz w:val="20"/>
          <w:szCs w:val="20"/>
          <w:lang w:val="en-US" w:eastAsia="zh-CN"/>
        </w:rPr>
      </w:pPr>
      <w:r>
        <w:rPr>
          <w:rFonts w:hint="eastAsia"/>
          <w:b/>
          <w:bCs/>
          <w:i w:val="0"/>
          <w:iCs w:val="0"/>
          <w:sz w:val="20"/>
          <w:szCs w:val="20"/>
          <w:lang w:val="en-US" w:eastAsia="zh-CN"/>
        </w:rPr>
        <w:t>Proposal 2: IBE should be used between edges of UE CBW and extended UE CBW</w:t>
      </w:r>
    </w:p>
    <w:p>
      <w:pPr>
        <w:pStyle w:val="34"/>
        <w:keepNext w:val="0"/>
        <w:keepLines w:val="0"/>
        <w:pageBreakBefore w:val="0"/>
        <w:widowControl/>
        <w:numPr>
          <w:ilvl w:val="2"/>
          <w:numId w:val="9"/>
        </w:numPr>
        <w:kinsoku/>
        <w:wordWrap/>
        <w:overflowPunct/>
        <w:topLinePunct w:val="0"/>
        <w:autoSpaceDE/>
        <w:autoSpaceDN/>
        <w:bidi w:val="0"/>
        <w:adjustRightInd/>
        <w:snapToGrid/>
        <w:spacing w:after="120"/>
        <w:ind w:left="363" w:hanging="363" w:firstLineChars="0"/>
        <w:textAlignment w:val="auto"/>
        <w:rPr>
          <w:rFonts w:hint="eastAsia"/>
          <w:b/>
          <w:bCs/>
          <w:i w:val="0"/>
          <w:iCs w:val="0"/>
          <w:sz w:val="20"/>
          <w:szCs w:val="20"/>
          <w:lang w:val="en-US" w:eastAsia="zh-CN"/>
        </w:rPr>
      </w:pPr>
      <w:r>
        <w:rPr>
          <w:rFonts w:hint="eastAsia"/>
          <w:b/>
          <w:bCs/>
          <w:i w:val="0"/>
          <w:iCs w:val="0"/>
          <w:sz w:val="20"/>
          <w:szCs w:val="20"/>
          <w:lang w:val="en-US" w:eastAsia="zh-CN"/>
        </w:rPr>
        <w:t>The general limit equation of IBE should be still based on the UE CBW instead of extended UE CBW</w:t>
      </w:r>
    </w:p>
    <w:p>
      <w:pPr>
        <w:pStyle w:val="34"/>
        <w:keepNext w:val="0"/>
        <w:keepLines w:val="0"/>
        <w:pageBreakBefore w:val="0"/>
        <w:widowControl/>
        <w:numPr>
          <w:ilvl w:val="2"/>
          <w:numId w:val="9"/>
        </w:numPr>
        <w:kinsoku/>
        <w:wordWrap/>
        <w:overflowPunct/>
        <w:topLinePunct w:val="0"/>
        <w:autoSpaceDE/>
        <w:autoSpaceDN/>
        <w:bidi w:val="0"/>
        <w:adjustRightInd/>
        <w:snapToGrid/>
        <w:spacing w:after="120"/>
        <w:ind w:left="363" w:hanging="363" w:firstLineChars="0"/>
        <w:textAlignment w:val="auto"/>
        <w:rPr>
          <w:rFonts w:hint="eastAsia"/>
          <w:b/>
          <w:bCs/>
          <w:i w:val="0"/>
          <w:iCs w:val="0"/>
          <w:sz w:val="20"/>
          <w:szCs w:val="20"/>
          <w:lang w:val="en-US" w:eastAsia="zh-CN"/>
        </w:rPr>
      </w:pPr>
      <w:r>
        <w:rPr>
          <w:rFonts w:hint="eastAsia"/>
          <w:b/>
          <w:bCs/>
          <w:i w:val="0"/>
          <w:iCs w:val="0"/>
          <w:sz w:val="20"/>
          <w:szCs w:val="20"/>
          <w:lang w:val="en-US" w:eastAsia="zh-CN"/>
        </w:rPr>
        <w:t>IBE can not be used in the guard band of UE CBW</w:t>
      </w:r>
    </w:p>
    <w:p>
      <w:pPr>
        <w:pStyle w:val="34"/>
        <w:keepNext w:val="0"/>
        <w:keepLines w:val="0"/>
        <w:pageBreakBefore w:val="0"/>
        <w:widowControl/>
        <w:numPr>
          <w:ilvl w:val="2"/>
          <w:numId w:val="9"/>
        </w:numPr>
        <w:kinsoku/>
        <w:wordWrap/>
        <w:overflowPunct/>
        <w:topLinePunct w:val="0"/>
        <w:autoSpaceDE/>
        <w:autoSpaceDN/>
        <w:bidi w:val="0"/>
        <w:adjustRightInd/>
        <w:snapToGrid/>
        <w:spacing w:after="120"/>
        <w:ind w:left="363" w:hanging="363" w:firstLineChars="0"/>
        <w:textAlignment w:val="auto"/>
        <w:rPr>
          <w:rFonts w:hint="eastAsia"/>
          <w:b/>
          <w:bCs/>
          <w:i w:val="0"/>
          <w:iCs w:val="0"/>
          <w:sz w:val="20"/>
          <w:szCs w:val="20"/>
          <w:lang w:val="en-US" w:eastAsia="zh-CN"/>
        </w:rPr>
      </w:pPr>
      <w:r>
        <w:rPr>
          <w:rFonts w:hint="eastAsia"/>
          <w:b/>
          <w:bCs/>
          <w:i w:val="0"/>
          <w:iCs w:val="0"/>
          <w:sz w:val="20"/>
          <w:szCs w:val="20"/>
          <w:lang w:val="en-US" w:eastAsia="zh-CN"/>
        </w:rPr>
        <w:t>Extend the IBE limit in the outermost RB of UE CBW to the range between edges of UE CBW and extended UE CBW for non-full RB allocation scenario</w:t>
      </w:r>
    </w:p>
    <w:p>
      <w:pPr>
        <w:pStyle w:val="34"/>
        <w:keepNext w:val="0"/>
        <w:keepLines w:val="0"/>
        <w:pageBreakBefore w:val="0"/>
        <w:widowControl/>
        <w:numPr>
          <w:ilvl w:val="2"/>
          <w:numId w:val="9"/>
        </w:numPr>
        <w:kinsoku/>
        <w:wordWrap/>
        <w:overflowPunct/>
        <w:topLinePunct w:val="0"/>
        <w:autoSpaceDE/>
        <w:autoSpaceDN/>
        <w:bidi w:val="0"/>
        <w:adjustRightInd/>
        <w:snapToGrid/>
        <w:spacing w:after="120"/>
        <w:ind w:left="363" w:hanging="363" w:firstLineChars="0"/>
        <w:textAlignment w:val="auto"/>
        <w:rPr>
          <w:rFonts w:hint="eastAsia"/>
          <w:b/>
          <w:bCs/>
          <w:i w:val="0"/>
          <w:iCs w:val="0"/>
          <w:sz w:val="20"/>
          <w:szCs w:val="20"/>
          <w:lang w:val="en-US" w:eastAsia="zh-CN"/>
        </w:rPr>
      </w:pPr>
      <w:r>
        <w:rPr>
          <w:rFonts w:hint="eastAsia"/>
          <w:b/>
          <w:bCs/>
          <w:i w:val="0"/>
          <w:iCs w:val="0"/>
          <w:sz w:val="20"/>
          <w:szCs w:val="20"/>
          <w:lang w:val="en-US" w:eastAsia="zh-CN"/>
        </w:rPr>
        <w:t>Use the IBE limit of -25 dB between edges of UE CBW and extended UE CBW for full RB allocation scenario</w:t>
      </w:r>
    </w:p>
    <w:p>
      <w:pPr>
        <w:rPr>
          <w:rFonts w:hint="eastAsia"/>
          <w:b/>
          <w:bCs/>
          <w:i w:val="0"/>
          <w:iCs w:val="0"/>
          <w:sz w:val="20"/>
          <w:szCs w:val="20"/>
          <w:lang w:val="en-US" w:eastAsia="zh-CN"/>
        </w:rPr>
      </w:pPr>
      <w:bookmarkStart w:id="11" w:name="_GoBack"/>
      <w:bookmarkEnd w:id="11"/>
      <w:r>
        <w:rPr>
          <w:rFonts w:hint="eastAsia"/>
          <w:b/>
          <w:bCs/>
          <w:i w:val="0"/>
          <w:iCs w:val="0"/>
          <w:sz w:val="20"/>
          <w:szCs w:val="20"/>
          <w:lang w:val="en-US" w:eastAsia="zh-CN"/>
        </w:rPr>
        <w:t xml:space="preserve">Proposal 3: ACLR and SEM should be applicable from the edge of extended UE CBW instead of the BS CBW. </w:t>
      </w:r>
    </w:p>
    <w:p>
      <w:pPr>
        <w:rPr>
          <w:rFonts w:hint="default"/>
          <w:b/>
          <w:bCs/>
          <w:i w:val="0"/>
          <w:iCs w:val="0"/>
          <w:sz w:val="20"/>
          <w:szCs w:val="20"/>
          <w:lang w:val="en-US" w:eastAsia="zh-CN"/>
        </w:rPr>
      </w:pPr>
      <w:r>
        <w:rPr>
          <w:rFonts w:hint="eastAsia"/>
          <w:b/>
          <w:bCs/>
          <w:i w:val="0"/>
          <w:iCs w:val="0"/>
          <w:sz w:val="20"/>
          <w:szCs w:val="20"/>
          <w:lang w:val="en-US" w:eastAsia="zh-CN"/>
        </w:rPr>
        <w:t>Proposal 4: The application range of SE should be altered with the shifting of the edge of the UE CBW.</w:t>
      </w:r>
    </w:p>
    <w:p>
      <w:pPr>
        <w:rPr>
          <w:rFonts w:hint="default"/>
          <w:b/>
          <w:bCs/>
          <w:i w:val="0"/>
          <w:iCs w:val="0"/>
          <w:sz w:val="20"/>
          <w:szCs w:val="20"/>
          <w:lang w:val="en-US" w:eastAsia="zh-CN"/>
        </w:rPr>
      </w:pPr>
      <w:r>
        <w:rPr>
          <w:rFonts w:hint="eastAsia"/>
          <w:b/>
          <w:bCs/>
          <w:i w:val="0"/>
          <w:iCs w:val="0"/>
          <w:sz w:val="20"/>
          <w:szCs w:val="20"/>
          <w:lang w:val="en-US" w:eastAsia="zh-CN"/>
        </w:rPr>
        <w:t>Proposal 5: The OOBE requirement and applicable boundary should be based on UE CBW.</w:t>
      </w:r>
    </w:p>
    <w:p>
      <w:pPr>
        <w:keepNext/>
        <w:keepLines w:val="0"/>
        <w:pageBreakBefore w:val="0"/>
        <w:widowControl w:val="0"/>
        <w:numPr>
          <w:ilvl w:val="0"/>
          <w:numId w:val="0"/>
        </w:numPr>
        <w:kinsoku/>
        <w:wordWrap/>
        <w:overflowPunct/>
        <w:topLinePunct w:val="0"/>
        <w:autoSpaceDE/>
        <w:autoSpaceDN/>
        <w:bidi w:val="0"/>
        <w:adjustRightInd/>
        <w:snapToGrid/>
        <w:ind w:leftChars="0"/>
        <w:textAlignment w:val="auto"/>
        <w:rPr>
          <w:rFonts w:hint="default"/>
          <w:b/>
          <w:bCs/>
          <w:color w:val="000000" w:themeColor="text1"/>
          <w:sz w:val="20"/>
          <w:szCs w:val="20"/>
          <w:lang w:val="en-US" w:eastAsia="zh-CN"/>
          <w14:textFill>
            <w14:solidFill>
              <w14:schemeClr w14:val="tx1"/>
            </w14:solidFill>
          </w14:textFill>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val="0"/>
        <w:keepLines w:val="0"/>
        <w:pageBreakBefore w:val="0"/>
        <w:widowControl w:val="0"/>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sz w:val="20"/>
          <w:szCs w:val="20"/>
          <w:lang w:val="en-US" w:eastAsia="zh-CN"/>
        </w:rPr>
        <w:t>RP-230828, New WID: UE RF enhancements for NR FR1/FR2 and EN-DC, Phase 4, Huawei</w:t>
      </w:r>
    </w:p>
    <w:p>
      <w:pPr>
        <w:keepNext w:val="0"/>
        <w:keepLines w:val="0"/>
        <w:pageBreakBefore w:val="0"/>
        <w:widowControl w:val="0"/>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R4-2416177</w:t>
      </w:r>
      <w:r>
        <w:rPr>
          <w:rFonts w:hint="eastAsia"/>
          <w:color w:val="auto"/>
          <w:sz w:val="20"/>
          <w:szCs w:val="20"/>
          <w:lang w:val="en-US" w:eastAsia="zh-CN"/>
        </w:rPr>
        <w:t>, On power domain enhancements for single carrier, Huawei, HiSilicon, China Unicom, Orange</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both"/>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New York">
    <w:altName w:val="Tahoma"/>
    <w:panose1 w:val="02040503060506020304"/>
    <w:charset w:val="00"/>
    <w:family w:val="roman"/>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9EF8B96"/>
    <w:multiLevelType w:val="singleLevel"/>
    <w:tmpl w:val="C9EF8B96"/>
    <w:lvl w:ilvl="0" w:tentative="0">
      <w:start w:val="1"/>
      <w:numFmt w:val="bullet"/>
      <w:lvlText w:val="•"/>
      <w:lvlJc w:val="left"/>
      <w:pPr>
        <w:ind w:left="420" w:leftChars="0" w:hanging="420" w:firstLineChars="0"/>
      </w:pPr>
      <w:rPr>
        <w:rFonts w:hint="default" w:ascii="Arial" w:hAnsi="Arial" w:cs="Arial"/>
      </w:rPr>
    </w:lvl>
  </w:abstractNum>
  <w:abstractNum w:abstractNumId="2">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3">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2"/>
      <w:numFmt w:val="bullet"/>
      <w:lvlText w:val="-"/>
      <w:lvlJc w:val="left"/>
      <w:pPr>
        <w:ind w:left="1080" w:hanging="360"/>
      </w:pPr>
      <w:rPr>
        <w:rFonts w:hint="eastAsia" w:ascii="New York" w:hAnsi="New York" w:eastAsia="New York" w:cs="宋体"/>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F723A5E"/>
    <w:multiLevelType w:val="singleLevel"/>
    <w:tmpl w:val="5F723A5E"/>
    <w:lvl w:ilvl="0" w:tentative="0">
      <w:start w:val="1"/>
      <w:numFmt w:val="decimal"/>
      <w:suff w:val="space"/>
      <w:lvlText w:val="[%1]"/>
      <w:lvlJc w:val="left"/>
    </w:lvl>
  </w:abstractNum>
  <w:abstractNum w:abstractNumId="10">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0"/>
  </w:num>
  <w:num w:numId="3">
    <w:abstractNumId w:val="8"/>
  </w:num>
  <w:num w:numId="4">
    <w:abstractNumId w:val="5"/>
  </w:num>
  <w:num w:numId="5">
    <w:abstractNumId w:val="6"/>
  </w:num>
  <w:num w:numId="6">
    <w:abstractNumId w:val="2"/>
  </w:num>
  <w:num w:numId="7">
    <w:abstractNumId w:val="0"/>
  </w:num>
  <w:num w:numId="8">
    <w:abstractNumId w:val="3"/>
  </w:num>
  <w:num w:numId="9">
    <w:abstractNumId w:val="7"/>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85920"/>
    <w:rsid w:val="01101B26"/>
    <w:rsid w:val="011A0B49"/>
    <w:rsid w:val="014A0623"/>
    <w:rsid w:val="01536583"/>
    <w:rsid w:val="0156475D"/>
    <w:rsid w:val="015D3EF3"/>
    <w:rsid w:val="016112D3"/>
    <w:rsid w:val="0165788D"/>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45E8F"/>
    <w:rsid w:val="03496C64"/>
    <w:rsid w:val="035154D3"/>
    <w:rsid w:val="03527C38"/>
    <w:rsid w:val="0356746F"/>
    <w:rsid w:val="035C61CA"/>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94550"/>
    <w:rsid w:val="03EC63CD"/>
    <w:rsid w:val="04030035"/>
    <w:rsid w:val="04142BDC"/>
    <w:rsid w:val="04242D1B"/>
    <w:rsid w:val="04251A4C"/>
    <w:rsid w:val="042D2E97"/>
    <w:rsid w:val="04305EA0"/>
    <w:rsid w:val="04310833"/>
    <w:rsid w:val="04343921"/>
    <w:rsid w:val="04346443"/>
    <w:rsid w:val="043865BF"/>
    <w:rsid w:val="043A14AD"/>
    <w:rsid w:val="044C78D8"/>
    <w:rsid w:val="04537B11"/>
    <w:rsid w:val="04684A28"/>
    <w:rsid w:val="046C0EAE"/>
    <w:rsid w:val="04782230"/>
    <w:rsid w:val="0479507E"/>
    <w:rsid w:val="04894975"/>
    <w:rsid w:val="04922411"/>
    <w:rsid w:val="04A65723"/>
    <w:rsid w:val="04B14B03"/>
    <w:rsid w:val="04CF6607"/>
    <w:rsid w:val="04D06773"/>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F225A"/>
    <w:rsid w:val="05636085"/>
    <w:rsid w:val="057D1D66"/>
    <w:rsid w:val="059D265F"/>
    <w:rsid w:val="059E1515"/>
    <w:rsid w:val="05B92EC1"/>
    <w:rsid w:val="05DB542B"/>
    <w:rsid w:val="05E00AEA"/>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73317F"/>
    <w:rsid w:val="098143BC"/>
    <w:rsid w:val="098500F1"/>
    <w:rsid w:val="09885EF4"/>
    <w:rsid w:val="0992510E"/>
    <w:rsid w:val="09B33AE4"/>
    <w:rsid w:val="09BD407A"/>
    <w:rsid w:val="09BF125C"/>
    <w:rsid w:val="09C12CF5"/>
    <w:rsid w:val="09DA0E26"/>
    <w:rsid w:val="09DB6437"/>
    <w:rsid w:val="09E55691"/>
    <w:rsid w:val="09F67CD5"/>
    <w:rsid w:val="09FB69BA"/>
    <w:rsid w:val="0A054821"/>
    <w:rsid w:val="0A077A43"/>
    <w:rsid w:val="0A0835C8"/>
    <w:rsid w:val="0A145721"/>
    <w:rsid w:val="0A355EAA"/>
    <w:rsid w:val="0A3708FF"/>
    <w:rsid w:val="0A3B01F9"/>
    <w:rsid w:val="0A3F0488"/>
    <w:rsid w:val="0A402A36"/>
    <w:rsid w:val="0A4236A3"/>
    <w:rsid w:val="0A4E7EF5"/>
    <w:rsid w:val="0A646846"/>
    <w:rsid w:val="0A7B4D83"/>
    <w:rsid w:val="0A81506C"/>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8D2D6F"/>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2728"/>
    <w:rsid w:val="0C825F28"/>
    <w:rsid w:val="0C89028B"/>
    <w:rsid w:val="0C8B63A3"/>
    <w:rsid w:val="0CB94808"/>
    <w:rsid w:val="0CC146A9"/>
    <w:rsid w:val="0CC37BC2"/>
    <w:rsid w:val="0CC44C49"/>
    <w:rsid w:val="0CD87ABE"/>
    <w:rsid w:val="0CE26C42"/>
    <w:rsid w:val="0CE632FF"/>
    <w:rsid w:val="0CE76B48"/>
    <w:rsid w:val="0CEB5DBE"/>
    <w:rsid w:val="0CFB523A"/>
    <w:rsid w:val="0D074D4A"/>
    <w:rsid w:val="0D0A3371"/>
    <w:rsid w:val="0D0C5764"/>
    <w:rsid w:val="0D1B1E9C"/>
    <w:rsid w:val="0D1C2E6E"/>
    <w:rsid w:val="0D2D3ACB"/>
    <w:rsid w:val="0D4B44A1"/>
    <w:rsid w:val="0D6811B4"/>
    <w:rsid w:val="0D6E2620"/>
    <w:rsid w:val="0D704E21"/>
    <w:rsid w:val="0D755FFE"/>
    <w:rsid w:val="0D7F48FE"/>
    <w:rsid w:val="0D883C88"/>
    <w:rsid w:val="0D8A6002"/>
    <w:rsid w:val="0D8C6C09"/>
    <w:rsid w:val="0D9074CF"/>
    <w:rsid w:val="0D936E72"/>
    <w:rsid w:val="0D966BF7"/>
    <w:rsid w:val="0DB54F84"/>
    <w:rsid w:val="0DB84465"/>
    <w:rsid w:val="0DCC3AE8"/>
    <w:rsid w:val="0DD87842"/>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91130"/>
    <w:rsid w:val="0E9E6E00"/>
    <w:rsid w:val="0EA40C1C"/>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165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022743"/>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02F85"/>
    <w:rsid w:val="10C715C5"/>
    <w:rsid w:val="10D335EF"/>
    <w:rsid w:val="10E255A6"/>
    <w:rsid w:val="10E746EA"/>
    <w:rsid w:val="10E83FE0"/>
    <w:rsid w:val="10EC3168"/>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35EB1"/>
    <w:rsid w:val="117A242E"/>
    <w:rsid w:val="117B1D6A"/>
    <w:rsid w:val="117C2D9D"/>
    <w:rsid w:val="117F159E"/>
    <w:rsid w:val="11821DC9"/>
    <w:rsid w:val="11897A08"/>
    <w:rsid w:val="11921373"/>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595070"/>
    <w:rsid w:val="126532DD"/>
    <w:rsid w:val="12680E73"/>
    <w:rsid w:val="12763466"/>
    <w:rsid w:val="127E5AA6"/>
    <w:rsid w:val="12811F99"/>
    <w:rsid w:val="128B2749"/>
    <w:rsid w:val="128E1E81"/>
    <w:rsid w:val="129019B5"/>
    <w:rsid w:val="129811DB"/>
    <w:rsid w:val="129937EE"/>
    <w:rsid w:val="129E6282"/>
    <w:rsid w:val="129F3A3A"/>
    <w:rsid w:val="12A76451"/>
    <w:rsid w:val="12AA7237"/>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6F24BC"/>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50E7F"/>
    <w:rsid w:val="146B69A8"/>
    <w:rsid w:val="146C5189"/>
    <w:rsid w:val="146F1089"/>
    <w:rsid w:val="14816B50"/>
    <w:rsid w:val="148313F4"/>
    <w:rsid w:val="1485665F"/>
    <w:rsid w:val="148829D5"/>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9587F"/>
    <w:rsid w:val="155E7DEC"/>
    <w:rsid w:val="15740334"/>
    <w:rsid w:val="1574662E"/>
    <w:rsid w:val="15751882"/>
    <w:rsid w:val="1575191B"/>
    <w:rsid w:val="157818C6"/>
    <w:rsid w:val="158133D5"/>
    <w:rsid w:val="159F73BB"/>
    <w:rsid w:val="15B03F28"/>
    <w:rsid w:val="15C15E25"/>
    <w:rsid w:val="15C42571"/>
    <w:rsid w:val="15E30A80"/>
    <w:rsid w:val="15FD2FA2"/>
    <w:rsid w:val="160125B6"/>
    <w:rsid w:val="16021A7C"/>
    <w:rsid w:val="1608480E"/>
    <w:rsid w:val="161C1C58"/>
    <w:rsid w:val="162B27CD"/>
    <w:rsid w:val="162D7415"/>
    <w:rsid w:val="162F755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69F2"/>
    <w:rsid w:val="169865AE"/>
    <w:rsid w:val="169C7FDE"/>
    <w:rsid w:val="16A4319F"/>
    <w:rsid w:val="16AC4DDB"/>
    <w:rsid w:val="16AE2FE3"/>
    <w:rsid w:val="16B23908"/>
    <w:rsid w:val="16B4400E"/>
    <w:rsid w:val="16C16240"/>
    <w:rsid w:val="16C71372"/>
    <w:rsid w:val="16C739DF"/>
    <w:rsid w:val="16C86CDB"/>
    <w:rsid w:val="16DD3B26"/>
    <w:rsid w:val="16E41601"/>
    <w:rsid w:val="16E73506"/>
    <w:rsid w:val="16EB6E00"/>
    <w:rsid w:val="16EE7649"/>
    <w:rsid w:val="16F04615"/>
    <w:rsid w:val="16FD2447"/>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DE2FB7"/>
    <w:rsid w:val="17E47B20"/>
    <w:rsid w:val="17E65848"/>
    <w:rsid w:val="17E66DD8"/>
    <w:rsid w:val="17E84839"/>
    <w:rsid w:val="17EE1403"/>
    <w:rsid w:val="17F25234"/>
    <w:rsid w:val="17F33DC6"/>
    <w:rsid w:val="17F45149"/>
    <w:rsid w:val="17FD061B"/>
    <w:rsid w:val="17FD20FD"/>
    <w:rsid w:val="17FF6314"/>
    <w:rsid w:val="18005F41"/>
    <w:rsid w:val="18025414"/>
    <w:rsid w:val="180E2B18"/>
    <w:rsid w:val="18171305"/>
    <w:rsid w:val="1820454C"/>
    <w:rsid w:val="1829280B"/>
    <w:rsid w:val="18334194"/>
    <w:rsid w:val="183E1D37"/>
    <w:rsid w:val="1840126B"/>
    <w:rsid w:val="1846724A"/>
    <w:rsid w:val="184A22E6"/>
    <w:rsid w:val="184D0787"/>
    <w:rsid w:val="185D1883"/>
    <w:rsid w:val="185E3AA1"/>
    <w:rsid w:val="185F15CF"/>
    <w:rsid w:val="18603479"/>
    <w:rsid w:val="18717152"/>
    <w:rsid w:val="1873591E"/>
    <w:rsid w:val="18812331"/>
    <w:rsid w:val="18816F1C"/>
    <w:rsid w:val="18847050"/>
    <w:rsid w:val="18853F3E"/>
    <w:rsid w:val="188F3639"/>
    <w:rsid w:val="18956393"/>
    <w:rsid w:val="18A8582C"/>
    <w:rsid w:val="18B50543"/>
    <w:rsid w:val="18CA40C3"/>
    <w:rsid w:val="18CD7A02"/>
    <w:rsid w:val="18D904AC"/>
    <w:rsid w:val="18DD3194"/>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36F0E"/>
    <w:rsid w:val="1A165171"/>
    <w:rsid w:val="1A3068A4"/>
    <w:rsid w:val="1A410451"/>
    <w:rsid w:val="1A4858FF"/>
    <w:rsid w:val="1A4C698A"/>
    <w:rsid w:val="1A4D778D"/>
    <w:rsid w:val="1A5D5219"/>
    <w:rsid w:val="1A5E4B5A"/>
    <w:rsid w:val="1A672B1C"/>
    <w:rsid w:val="1A7070DD"/>
    <w:rsid w:val="1A805F1C"/>
    <w:rsid w:val="1A8301C0"/>
    <w:rsid w:val="1A872248"/>
    <w:rsid w:val="1A9B2279"/>
    <w:rsid w:val="1A9D1677"/>
    <w:rsid w:val="1A9E6232"/>
    <w:rsid w:val="1AA57BA7"/>
    <w:rsid w:val="1AA74D3D"/>
    <w:rsid w:val="1AB34DB4"/>
    <w:rsid w:val="1AB613FD"/>
    <w:rsid w:val="1AB64B19"/>
    <w:rsid w:val="1AB73747"/>
    <w:rsid w:val="1AC03C10"/>
    <w:rsid w:val="1AC36D4A"/>
    <w:rsid w:val="1ACF5EB8"/>
    <w:rsid w:val="1AD26086"/>
    <w:rsid w:val="1AD86198"/>
    <w:rsid w:val="1ADD5ACE"/>
    <w:rsid w:val="1AE013F8"/>
    <w:rsid w:val="1AE8570C"/>
    <w:rsid w:val="1AF7297B"/>
    <w:rsid w:val="1AF97DCC"/>
    <w:rsid w:val="1AFB06A3"/>
    <w:rsid w:val="1B062896"/>
    <w:rsid w:val="1B0A0A03"/>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D02ED8"/>
    <w:rsid w:val="1BE32C74"/>
    <w:rsid w:val="1BF46563"/>
    <w:rsid w:val="1BFB481C"/>
    <w:rsid w:val="1BFE5FF9"/>
    <w:rsid w:val="1BFE7B2D"/>
    <w:rsid w:val="1C013494"/>
    <w:rsid w:val="1C053414"/>
    <w:rsid w:val="1C132CB9"/>
    <w:rsid w:val="1C1642A1"/>
    <w:rsid w:val="1C1E32CC"/>
    <w:rsid w:val="1C2146C5"/>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7F43"/>
    <w:rsid w:val="1CDB018C"/>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21AEE"/>
    <w:rsid w:val="1DD34749"/>
    <w:rsid w:val="1DDD201B"/>
    <w:rsid w:val="1DE94164"/>
    <w:rsid w:val="1DEE1B11"/>
    <w:rsid w:val="1E105A20"/>
    <w:rsid w:val="1E164B52"/>
    <w:rsid w:val="1E26583C"/>
    <w:rsid w:val="1E273844"/>
    <w:rsid w:val="1E2F243E"/>
    <w:rsid w:val="1E365CA2"/>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92ECA"/>
    <w:rsid w:val="1F0A0088"/>
    <w:rsid w:val="1F0E5D6B"/>
    <w:rsid w:val="1F0F2943"/>
    <w:rsid w:val="1F1420D0"/>
    <w:rsid w:val="1F194C88"/>
    <w:rsid w:val="1F323C57"/>
    <w:rsid w:val="1F343977"/>
    <w:rsid w:val="1F35486A"/>
    <w:rsid w:val="1F3E662A"/>
    <w:rsid w:val="1F4F2219"/>
    <w:rsid w:val="1F614D01"/>
    <w:rsid w:val="1F721405"/>
    <w:rsid w:val="1F935819"/>
    <w:rsid w:val="1FA036A3"/>
    <w:rsid w:val="1FA6556D"/>
    <w:rsid w:val="1FAF2571"/>
    <w:rsid w:val="1FB33036"/>
    <w:rsid w:val="1FBE5DDE"/>
    <w:rsid w:val="1FC55EDA"/>
    <w:rsid w:val="1FC658C9"/>
    <w:rsid w:val="1FCE593C"/>
    <w:rsid w:val="1FE23C7B"/>
    <w:rsid w:val="1FE312AC"/>
    <w:rsid w:val="1FEC5915"/>
    <w:rsid w:val="1FED32EF"/>
    <w:rsid w:val="1FF82884"/>
    <w:rsid w:val="201E6D7C"/>
    <w:rsid w:val="20446081"/>
    <w:rsid w:val="204852AD"/>
    <w:rsid w:val="204A5E48"/>
    <w:rsid w:val="204A6449"/>
    <w:rsid w:val="204E6676"/>
    <w:rsid w:val="20580C17"/>
    <w:rsid w:val="20595924"/>
    <w:rsid w:val="205A5AA0"/>
    <w:rsid w:val="20773A28"/>
    <w:rsid w:val="208574F4"/>
    <w:rsid w:val="208C4449"/>
    <w:rsid w:val="208F6BAF"/>
    <w:rsid w:val="209414DB"/>
    <w:rsid w:val="20966296"/>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4B6B8E"/>
    <w:rsid w:val="21530058"/>
    <w:rsid w:val="21567D84"/>
    <w:rsid w:val="216608E3"/>
    <w:rsid w:val="21810744"/>
    <w:rsid w:val="218D6EF5"/>
    <w:rsid w:val="2195668B"/>
    <w:rsid w:val="219F69EC"/>
    <w:rsid w:val="21A130EA"/>
    <w:rsid w:val="21AC420B"/>
    <w:rsid w:val="21B405F8"/>
    <w:rsid w:val="21B5366A"/>
    <w:rsid w:val="21C267BF"/>
    <w:rsid w:val="21C67C42"/>
    <w:rsid w:val="21CB6217"/>
    <w:rsid w:val="21CD6BCD"/>
    <w:rsid w:val="21CE6067"/>
    <w:rsid w:val="21CF439A"/>
    <w:rsid w:val="21D824E4"/>
    <w:rsid w:val="21F00127"/>
    <w:rsid w:val="21F7745C"/>
    <w:rsid w:val="22035C75"/>
    <w:rsid w:val="221A39C9"/>
    <w:rsid w:val="221D2FA3"/>
    <w:rsid w:val="22231B54"/>
    <w:rsid w:val="2226635F"/>
    <w:rsid w:val="222D4F0B"/>
    <w:rsid w:val="223A29CF"/>
    <w:rsid w:val="223D7545"/>
    <w:rsid w:val="22411D14"/>
    <w:rsid w:val="22423BE1"/>
    <w:rsid w:val="2243381D"/>
    <w:rsid w:val="22454449"/>
    <w:rsid w:val="22500810"/>
    <w:rsid w:val="22596EC8"/>
    <w:rsid w:val="226347BD"/>
    <w:rsid w:val="22682935"/>
    <w:rsid w:val="226E0A7E"/>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97A15"/>
    <w:rsid w:val="233C6F76"/>
    <w:rsid w:val="234449F5"/>
    <w:rsid w:val="23536618"/>
    <w:rsid w:val="236C1BCA"/>
    <w:rsid w:val="237464D5"/>
    <w:rsid w:val="23816932"/>
    <w:rsid w:val="23925D42"/>
    <w:rsid w:val="239C062C"/>
    <w:rsid w:val="23A9484E"/>
    <w:rsid w:val="23B32F98"/>
    <w:rsid w:val="23B84268"/>
    <w:rsid w:val="23D17D7B"/>
    <w:rsid w:val="23D36D91"/>
    <w:rsid w:val="23E02099"/>
    <w:rsid w:val="23F70BA5"/>
    <w:rsid w:val="23F93D0D"/>
    <w:rsid w:val="2405417E"/>
    <w:rsid w:val="240731AE"/>
    <w:rsid w:val="24197365"/>
    <w:rsid w:val="241B5C62"/>
    <w:rsid w:val="24295025"/>
    <w:rsid w:val="24312CB0"/>
    <w:rsid w:val="243A6CBE"/>
    <w:rsid w:val="24513B48"/>
    <w:rsid w:val="2458381E"/>
    <w:rsid w:val="245872F9"/>
    <w:rsid w:val="245943D9"/>
    <w:rsid w:val="245E6B64"/>
    <w:rsid w:val="2463385E"/>
    <w:rsid w:val="246B2606"/>
    <w:rsid w:val="24767C7B"/>
    <w:rsid w:val="247C178B"/>
    <w:rsid w:val="24861BCE"/>
    <w:rsid w:val="24967323"/>
    <w:rsid w:val="249D5FC8"/>
    <w:rsid w:val="24A1538E"/>
    <w:rsid w:val="24A628AF"/>
    <w:rsid w:val="24B9450F"/>
    <w:rsid w:val="24C25350"/>
    <w:rsid w:val="24C83F94"/>
    <w:rsid w:val="24D82EE2"/>
    <w:rsid w:val="24F60CDA"/>
    <w:rsid w:val="24FE42EB"/>
    <w:rsid w:val="25090336"/>
    <w:rsid w:val="250D450C"/>
    <w:rsid w:val="25134332"/>
    <w:rsid w:val="25141A5B"/>
    <w:rsid w:val="251A2CC7"/>
    <w:rsid w:val="2521546A"/>
    <w:rsid w:val="252242ED"/>
    <w:rsid w:val="252A2BA6"/>
    <w:rsid w:val="252B49E0"/>
    <w:rsid w:val="252D3CC1"/>
    <w:rsid w:val="254A35DD"/>
    <w:rsid w:val="255D45FE"/>
    <w:rsid w:val="25657E8F"/>
    <w:rsid w:val="25691F8B"/>
    <w:rsid w:val="256E76DE"/>
    <w:rsid w:val="25733F7D"/>
    <w:rsid w:val="25734B61"/>
    <w:rsid w:val="257632D6"/>
    <w:rsid w:val="258004D1"/>
    <w:rsid w:val="25855673"/>
    <w:rsid w:val="258F6BC4"/>
    <w:rsid w:val="2597510C"/>
    <w:rsid w:val="25975923"/>
    <w:rsid w:val="259A3D0A"/>
    <w:rsid w:val="25A95F3E"/>
    <w:rsid w:val="25AA38D2"/>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E3CBF"/>
    <w:rsid w:val="26395C92"/>
    <w:rsid w:val="2641231E"/>
    <w:rsid w:val="264252DF"/>
    <w:rsid w:val="26465DA0"/>
    <w:rsid w:val="26562F1C"/>
    <w:rsid w:val="26577EF5"/>
    <w:rsid w:val="265A5249"/>
    <w:rsid w:val="266237C3"/>
    <w:rsid w:val="267550B9"/>
    <w:rsid w:val="26996DAE"/>
    <w:rsid w:val="26BE1846"/>
    <w:rsid w:val="26C472EC"/>
    <w:rsid w:val="26E51F4F"/>
    <w:rsid w:val="26EC491A"/>
    <w:rsid w:val="26ED73E1"/>
    <w:rsid w:val="26F503CD"/>
    <w:rsid w:val="27036506"/>
    <w:rsid w:val="27047832"/>
    <w:rsid w:val="2706037D"/>
    <w:rsid w:val="27077793"/>
    <w:rsid w:val="270D152E"/>
    <w:rsid w:val="270D21A5"/>
    <w:rsid w:val="271436A9"/>
    <w:rsid w:val="27204B5D"/>
    <w:rsid w:val="27257DE1"/>
    <w:rsid w:val="272F31A0"/>
    <w:rsid w:val="27310CAC"/>
    <w:rsid w:val="27342901"/>
    <w:rsid w:val="273D2762"/>
    <w:rsid w:val="27470B72"/>
    <w:rsid w:val="27525E32"/>
    <w:rsid w:val="27550750"/>
    <w:rsid w:val="27604751"/>
    <w:rsid w:val="276D111F"/>
    <w:rsid w:val="2778582E"/>
    <w:rsid w:val="27806765"/>
    <w:rsid w:val="27821DE7"/>
    <w:rsid w:val="27832596"/>
    <w:rsid w:val="278C1620"/>
    <w:rsid w:val="27972E83"/>
    <w:rsid w:val="279B1E53"/>
    <w:rsid w:val="279C5F0C"/>
    <w:rsid w:val="279E0177"/>
    <w:rsid w:val="27AA3521"/>
    <w:rsid w:val="27AB7429"/>
    <w:rsid w:val="27B10D86"/>
    <w:rsid w:val="27C57B2B"/>
    <w:rsid w:val="27C8029E"/>
    <w:rsid w:val="27CC78AC"/>
    <w:rsid w:val="27D72FE7"/>
    <w:rsid w:val="27D86029"/>
    <w:rsid w:val="27DD45ED"/>
    <w:rsid w:val="27E3651B"/>
    <w:rsid w:val="27E864CC"/>
    <w:rsid w:val="27EC25E3"/>
    <w:rsid w:val="27ED0939"/>
    <w:rsid w:val="27F11EB1"/>
    <w:rsid w:val="27F1498B"/>
    <w:rsid w:val="27F80CA0"/>
    <w:rsid w:val="28021134"/>
    <w:rsid w:val="2802750E"/>
    <w:rsid w:val="28027A71"/>
    <w:rsid w:val="280A12DF"/>
    <w:rsid w:val="28171FD2"/>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18726D"/>
    <w:rsid w:val="2920545D"/>
    <w:rsid w:val="294E766A"/>
    <w:rsid w:val="2952590A"/>
    <w:rsid w:val="295545AF"/>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2D25D3"/>
    <w:rsid w:val="2A35650F"/>
    <w:rsid w:val="2A405845"/>
    <w:rsid w:val="2A4562D4"/>
    <w:rsid w:val="2A4D593F"/>
    <w:rsid w:val="2A575627"/>
    <w:rsid w:val="2A6C2D77"/>
    <w:rsid w:val="2A6E31F8"/>
    <w:rsid w:val="2A7270B7"/>
    <w:rsid w:val="2A87174E"/>
    <w:rsid w:val="2A8A2F9C"/>
    <w:rsid w:val="2AA45D17"/>
    <w:rsid w:val="2AAB3B94"/>
    <w:rsid w:val="2AAC5A06"/>
    <w:rsid w:val="2AB775FB"/>
    <w:rsid w:val="2ABB3D6F"/>
    <w:rsid w:val="2ABD1BB5"/>
    <w:rsid w:val="2AC44459"/>
    <w:rsid w:val="2AC70B30"/>
    <w:rsid w:val="2ACC2AAF"/>
    <w:rsid w:val="2AD74744"/>
    <w:rsid w:val="2AD91AC2"/>
    <w:rsid w:val="2AE57C95"/>
    <w:rsid w:val="2AF34B3D"/>
    <w:rsid w:val="2AF35C8B"/>
    <w:rsid w:val="2B03276C"/>
    <w:rsid w:val="2B055F4D"/>
    <w:rsid w:val="2B0C0EEE"/>
    <w:rsid w:val="2B112D02"/>
    <w:rsid w:val="2B116B71"/>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A11C0B"/>
    <w:rsid w:val="2BC40957"/>
    <w:rsid w:val="2BCA5C66"/>
    <w:rsid w:val="2BCB5DAA"/>
    <w:rsid w:val="2BD65380"/>
    <w:rsid w:val="2BD86372"/>
    <w:rsid w:val="2BDA39FD"/>
    <w:rsid w:val="2BE725D0"/>
    <w:rsid w:val="2BF369B9"/>
    <w:rsid w:val="2BFC0A4A"/>
    <w:rsid w:val="2C094904"/>
    <w:rsid w:val="2C0E55A1"/>
    <w:rsid w:val="2C346DB5"/>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31FCE"/>
    <w:rsid w:val="2CB600FC"/>
    <w:rsid w:val="2CCB6E18"/>
    <w:rsid w:val="2CCF5C52"/>
    <w:rsid w:val="2CE8526F"/>
    <w:rsid w:val="2D024DC7"/>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19011B"/>
    <w:rsid w:val="2E34792A"/>
    <w:rsid w:val="2E376AEB"/>
    <w:rsid w:val="2E437E73"/>
    <w:rsid w:val="2E4A5201"/>
    <w:rsid w:val="2E5034DC"/>
    <w:rsid w:val="2E572AB9"/>
    <w:rsid w:val="2E59712E"/>
    <w:rsid w:val="2E600E38"/>
    <w:rsid w:val="2E7258DC"/>
    <w:rsid w:val="2E7545D2"/>
    <w:rsid w:val="2E79458E"/>
    <w:rsid w:val="2E797A78"/>
    <w:rsid w:val="2E7A5F31"/>
    <w:rsid w:val="2E7C6A94"/>
    <w:rsid w:val="2E8321A5"/>
    <w:rsid w:val="2E8475EF"/>
    <w:rsid w:val="2E8D14A8"/>
    <w:rsid w:val="2E945711"/>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6492D"/>
    <w:rsid w:val="2FC86676"/>
    <w:rsid w:val="2FD17A1B"/>
    <w:rsid w:val="2FD71CA4"/>
    <w:rsid w:val="2FDC432A"/>
    <w:rsid w:val="2FDC4A8D"/>
    <w:rsid w:val="2FE27109"/>
    <w:rsid w:val="2FEA743A"/>
    <w:rsid w:val="2FF24D11"/>
    <w:rsid w:val="2FF93066"/>
    <w:rsid w:val="30037AB4"/>
    <w:rsid w:val="301742B2"/>
    <w:rsid w:val="301A1509"/>
    <w:rsid w:val="301A71CE"/>
    <w:rsid w:val="301D63DD"/>
    <w:rsid w:val="301E049B"/>
    <w:rsid w:val="302A4BE6"/>
    <w:rsid w:val="304478EC"/>
    <w:rsid w:val="304E2AF2"/>
    <w:rsid w:val="304F4511"/>
    <w:rsid w:val="30515C8E"/>
    <w:rsid w:val="305823FF"/>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A92721"/>
    <w:rsid w:val="31A9328B"/>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47AE0"/>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883435"/>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D1D4E"/>
    <w:rsid w:val="350F6258"/>
    <w:rsid w:val="351849C1"/>
    <w:rsid w:val="351A603C"/>
    <w:rsid w:val="351E2B92"/>
    <w:rsid w:val="35227705"/>
    <w:rsid w:val="352821F6"/>
    <w:rsid w:val="3533698A"/>
    <w:rsid w:val="35387F19"/>
    <w:rsid w:val="3539550B"/>
    <w:rsid w:val="353C298A"/>
    <w:rsid w:val="354D5E0E"/>
    <w:rsid w:val="355D10E3"/>
    <w:rsid w:val="356150BC"/>
    <w:rsid w:val="356678B4"/>
    <w:rsid w:val="3573649F"/>
    <w:rsid w:val="357E4B0A"/>
    <w:rsid w:val="35866D7F"/>
    <w:rsid w:val="358F6BDF"/>
    <w:rsid w:val="35A440D7"/>
    <w:rsid w:val="35C06D50"/>
    <w:rsid w:val="35CD6F14"/>
    <w:rsid w:val="35D24294"/>
    <w:rsid w:val="35D71152"/>
    <w:rsid w:val="35DB0628"/>
    <w:rsid w:val="35F325E5"/>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B60AD"/>
    <w:rsid w:val="368F7E4F"/>
    <w:rsid w:val="36985297"/>
    <w:rsid w:val="369F633B"/>
    <w:rsid w:val="36A30FDB"/>
    <w:rsid w:val="36A7007C"/>
    <w:rsid w:val="36AC6F8B"/>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4F25D9"/>
    <w:rsid w:val="37503E6C"/>
    <w:rsid w:val="3758590A"/>
    <w:rsid w:val="375E77B2"/>
    <w:rsid w:val="37602E60"/>
    <w:rsid w:val="37611796"/>
    <w:rsid w:val="37625C1C"/>
    <w:rsid w:val="377519F1"/>
    <w:rsid w:val="377B528D"/>
    <w:rsid w:val="377D206E"/>
    <w:rsid w:val="377D4DA8"/>
    <w:rsid w:val="378229A7"/>
    <w:rsid w:val="3784394E"/>
    <w:rsid w:val="37852032"/>
    <w:rsid w:val="37946975"/>
    <w:rsid w:val="37987437"/>
    <w:rsid w:val="379F33FC"/>
    <w:rsid w:val="37A432E4"/>
    <w:rsid w:val="37A5497F"/>
    <w:rsid w:val="37A86196"/>
    <w:rsid w:val="37C94031"/>
    <w:rsid w:val="37CA042E"/>
    <w:rsid w:val="37CA2635"/>
    <w:rsid w:val="37D44549"/>
    <w:rsid w:val="37D77B09"/>
    <w:rsid w:val="37D931A8"/>
    <w:rsid w:val="37D97EDE"/>
    <w:rsid w:val="37E76E34"/>
    <w:rsid w:val="37EA14D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DA5EC3"/>
    <w:rsid w:val="38E40A5B"/>
    <w:rsid w:val="38E51952"/>
    <w:rsid w:val="38F16A28"/>
    <w:rsid w:val="3913128B"/>
    <w:rsid w:val="391A3359"/>
    <w:rsid w:val="39285D57"/>
    <w:rsid w:val="39315D4D"/>
    <w:rsid w:val="394B6470"/>
    <w:rsid w:val="395C6EA8"/>
    <w:rsid w:val="39752B81"/>
    <w:rsid w:val="39872512"/>
    <w:rsid w:val="39A602F9"/>
    <w:rsid w:val="39AF6354"/>
    <w:rsid w:val="39BD45C8"/>
    <w:rsid w:val="39C2316A"/>
    <w:rsid w:val="39D30B18"/>
    <w:rsid w:val="39F36281"/>
    <w:rsid w:val="39FD376D"/>
    <w:rsid w:val="39FD6C9C"/>
    <w:rsid w:val="39FF6B36"/>
    <w:rsid w:val="3A0224B9"/>
    <w:rsid w:val="3A0526B5"/>
    <w:rsid w:val="3A14011B"/>
    <w:rsid w:val="3A1509F4"/>
    <w:rsid w:val="3A16728B"/>
    <w:rsid w:val="3A16794C"/>
    <w:rsid w:val="3A1F6809"/>
    <w:rsid w:val="3A226969"/>
    <w:rsid w:val="3A331B72"/>
    <w:rsid w:val="3A3A2C04"/>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5D01C0"/>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BF04608"/>
    <w:rsid w:val="3C0429BF"/>
    <w:rsid w:val="3C066389"/>
    <w:rsid w:val="3C0D66FC"/>
    <w:rsid w:val="3C120C48"/>
    <w:rsid w:val="3C1A201A"/>
    <w:rsid w:val="3C276807"/>
    <w:rsid w:val="3C2D0CA4"/>
    <w:rsid w:val="3C306E2F"/>
    <w:rsid w:val="3C3274E5"/>
    <w:rsid w:val="3C371D4B"/>
    <w:rsid w:val="3C382561"/>
    <w:rsid w:val="3C3B4B9D"/>
    <w:rsid w:val="3C3F772B"/>
    <w:rsid w:val="3C413C82"/>
    <w:rsid w:val="3C471C36"/>
    <w:rsid w:val="3C497A65"/>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B7A72"/>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04CC7"/>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41CCE"/>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DA15CE"/>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93D52"/>
    <w:rsid w:val="3FBA1D11"/>
    <w:rsid w:val="3FC36557"/>
    <w:rsid w:val="3FC956FF"/>
    <w:rsid w:val="3FD13F50"/>
    <w:rsid w:val="3FDC5F31"/>
    <w:rsid w:val="3FE04625"/>
    <w:rsid w:val="3FE1398F"/>
    <w:rsid w:val="3FE86CE8"/>
    <w:rsid w:val="3FEF3DCD"/>
    <w:rsid w:val="3FF148F7"/>
    <w:rsid w:val="3FFB0F66"/>
    <w:rsid w:val="40022F93"/>
    <w:rsid w:val="400E6DDA"/>
    <w:rsid w:val="40146E6B"/>
    <w:rsid w:val="40225B50"/>
    <w:rsid w:val="403052F1"/>
    <w:rsid w:val="40330D29"/>
    <w:rsid w:val="40422CFC"/>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C0B0E"/>
    <w:rsid w:val="414D35F5"/>
    <w:rsid w:val="41513BC9"/>
    <w:rsid w:val="416646D7"/>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E7EE2"/>
    <w:rsid w:val="433F6B54"/>
    <w:rsid w:val="43424AD7"/>
    <w:rsid w:val="4346543A"/>
    <w:rsid w:val="43533E29"/>
    <w:rsid w:val="43561E16"/>
    <w:rsid w:val="435B1259"/>
    <w:rsid w:val="436263D5"/>
    <w:rsid w:val="437556C4"/>
    <w:rsid w:val="43874CD4"/>
    <w:rsid w:val="439B699F"/>
    <w:rsid w:val="439D3E18"/>
    <w:rsid w:val="439F1200"/>
    <w:rsid w:val="43AE320F"/>
    <w:rsid w:val="43AF2D32"/>
    <w:rsid w:val="43B13512"/>
    <w:rsid w:val="43B75B9D"/>
    <w:rsid w:val="43B76E4F"/>
    <w:rsid w:val="43CF0206"/>
    <w:rsid w:val="43D50BA1"/>
    <w:rsid w:val="43D85D6D"/>
    <w:rsid w:val="43EC6F1F"/>
    <w:rsid w:val="43F071E5"/>
    <w:rsid w:val="43F124F2"/>
    <w:rsid w:val="43FE44BA"/>
    <w:rsid w:val="43FE63A7"/>
    <w:rsid w:val="440656C2"/>
    <w:rsid w:val="440D5045"/>
    <w:rsid w:val="440F6C97"/>
    <w:rsid w:val="44300615"/>
    <w:rsid w:val="44371929"/>
    <w:rsid w:val="443740AF"/>
    <w:rsid w:val="44480935"/>
    <w:rsid w:val="444851FA"/>
    <w:rsid w:val="445176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0B0825"/>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004A6"/>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0C"/>
    <w:rsid w:val="45BE6191"/>
    <w:rsid w:val="45BE648C"/>
    <w:rsid w:val="45C661BC"/>
    <w:rsid w:val="45CA082F"/>
    <w:rsid w:val="45CD2126"/>
    <w:rsid w:val="45CF358A"/>
    <w:rsid w:val="45DD738A"/>
    <w:rsid w:val="45DE3218"/>
    <w:rsid w:val="45E372CD"/>
    <w:rsid w:val="45EB6220"/>
    <w:rsid w:val="45FB2D6A"/>
    <w:rsid w:val="460C5979"/>
    <w:rsid w:val="46110AB3"/>
    <w:rsid w:val="46143B66"/>
    <w:rsid w:val="4615371C"/>
    <w:rsid w:val="46214325"/>
    <w:rsid w:val="46223B89"/>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D3243"/>
    <w:rsid w:val="478821A1"/>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D429DD"/>
    <w:rsid w:val="48E01C77"/>
    <w:rsid w:val="48E22285"/>
    <w:rsid w:val="48E50D90"/>
    <w:rsid w:val="48EB0B49"/>
    <w:rsid w:val="48EB0D16"/>
    <w:rsid w:val="48EE46BE"/>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BF718C"/>
    <w:rsid w:val="49C32414"/>
    <w:rsid w:val="49C84AA0"/>
    <w:rsid w:val="49CA7400"/>
    <w:rsid w:val="49CC2C0E"/>
    <w:rsid w:val="49D7694D"/>
    <w:rsid w:val="49D87799"/>
    <w:rsid w:val="49F35D81"/>
    <w:rsid w:val="49F400AC"/>
    <w:rsid w:val="49F9104E"/>
    <w:rsid w:val="4A0244D3"/>
    <w:rsid w:val="4A255046"/>
    <w:rsid w:val="4A2E1525"/>
    <w:rsid w:val="4A315640"/>
    <w:rsid w:val="4A5859A3"/>
    <w:rsid w:val="4A5A756D"/>
    <w:rsid w:val="4A706DE2"/>
    <w:rsid w:val="4A722B4C"/>
    <w:rsid w:val="4A785772"/>
    <w:rsid w:val="4A7A7433"/>
    <w:rsid w:val="4A7E3261"/>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0C003F"/>
    <w:rsid w:val="4B174032"/>
    <w:rsid w:val="4B1D7328"/>
    <w:rsid w:val="4B250CF8"/>
    <w:rsid w:val="4B2873FD"/>
    <w:rsid w:val="4B3D4DE9"/>
    <w:rsid w:val="4B544FDD"/>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8746E"/>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B4B37"/>
    <w:rsid w:val="4D3C254D"/>
    <w:rsid w:val="4D4001E4"/>
    <w:rsid w:val="4D462159"/>
    <w:rsid w:val="4D47409F"/>
    <w:rsid w:val="4D525BE3"/>
    <w:rsid w:val="4D566017"/>
    <w:rsid w:val="4D6022FC"/>
    <w:rsid w:val="4D6748C7"/>
    <w:rsid w:val="4D7D3EFB"/>
    <w:rsid w:val="4D883EF9"/>
    <w:rsid w:val="4D8B0123"/>
    <w:rsid w:val="4D907392"/>
    <w:rsid w:val="4D940DD6"/>
    <w:rsid w:val="4DA561AB"/>
    <w:rsid w:val="4DAF14C5"/>
    <w:rsid w:val="4DB9067A"/>
    <w:rsid w:val="4DC605B6"/>
    <w:rsid w:val="4DD51840"/>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C6FF7"/>
    <w:rsid w:val="4E5D49B1"/>
    <w:rsid w:val="4E635567"/>
    <w:rsid w:val="4E674786"/>
    <w:rsid w:val="4E6D0F25"/>
    <w:rsid w:val="4E6F309C"/>
    <w:rsid w:val="4E710F05"/>
    <w:rsid w:val="4E742982"/>
    <w:rsid w:val="4E754F1B"/>
    <w:rsid w:val="4E7F1E8F"/>
    <w:rsid w:val="4E862481"/>
    <w:rsid w:val="4E8C4141"/>
    <w:rsid w:val="4E901714"/>
    <w:rsid w:val="4E93511F"/>
    <w:rsid w:val="4E944F74"/>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7BF3"/>
    <w:rsid w:val="4F2E2624"/>
    <w:rsid w:val="4F4E1077"/>
    <w:rsid w:val="4F546156"/>
    <w:rsid w:val="4F5B6F39"/>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8113B"/>
    <w:rsid w:val="500815B6"/>
    <w:rsid w:val="500A7223"/>
    <w:rsid w:val="500B39BC"/>
    <w:rsid w:val="500C204A"/>
    <w:rsid w:val="50117829"/>
    <w:rsid w:val="501502DD"/>
    <w:rsid w:val="501A2172"/>
    <w:rsid w:val="502173F8"/>
    <w:rsid w:val="5022123F"/>
    <w:rsid w:val="502B7315"/>
    <w:rsid w:val="503E570B"/>
    <w:rsid w:val="503F32CF"/>
    <w:rsid w:val="503F62FD"/>
    <w:rsid w:val="5041152A"/>
    <w:rsid w:val="504A1A7A"/>
    <w:rsid w:val="504C77D2"/>
    <w:rsid w:val="50560460"/>
    <w:rsid w:val="505D11A3"/>
    <w:rsid w:val="50601A5C"/>
    <w:rsid w:val="507055F2"/>
    <w:rsid w:val="507E1B25"/>
    <w:rsid w:val="508E3B94"/>
    <w:rsid w:val="508E4492"/>
    <w:rsid w:val="5090223F"/>
    <w:rsid w:val="50924591"/>
    <w:rsid w:val="50A578DE"/>
    <w:rsid w:val="50A649F5"/>
    <w:rsid w:val="50AB5EB6"/>
    <w:rsid w:val="50AE6FE2"/>
    <w:rsid w:val="50B16618"/>
    <w:rsid w:val="50BB6306"/>
    <w:rsid w:val="50C12EDC"/>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10FA1"/>
    <w:rsid w:val="515400FF"/>
    <w:rsid w:val="515441FE"/>
    <w:rsid w:val="515D735D"/>
    <w:rsid w:val="5161556E"/>
    <w:rsid w:val="51631E12"/>
    <w:rsid w:val="516516D5"/>
    <w:rsid w:val="516A5418"/>
    <w:rsid w:val="516F4764"/>
    <w:rsid w:val="51781A83"/>
    <w:rsid w:val="51867298"/>
    <w:rsid w:val="51894D69"/>
    <w:rsid w:val="518D21E1"/>
    <w:rsid w:val="518E6224"/>
    <w:rsid w:val="51930297"/>
    <w:rsid w:val="51953936"/>
    <w:rsid w:val="519E116A"/>
    <w:rsid w:val="51A2793A"/>
    <w:rsid w:val="51B71820"/>
    <w:rsid w:val="51BA0CB7"/>
    <w:rsid w:val="51CA4619"/>
    <w:rsid w:val="51D129CA"/>
    <w:rsid w:val="51D75253"/>
    <w:rsid w:val="51D93F8A"/>
    <w:rsid w:val="51E5046A"/>
    <w:rsid w:val="51F6353C"/>
    <w:rsid w:val="520D7B42"/>
    <w:rsid w:val="52175F05"/>
    <w:rsid w:val="52272B85"/>
    <w:rsid w:val="52284E31"/>
    <w:rsid w:val="522A5519"/>
    <w:rsid w:val="522E2CD6"/>
    <w:rsid w:val="523E09B5"/>
    <w:rsid w:val="524053B4"/>
    <w:rsid w:val="52431715"/>
    <w:rsid w:val="52687B2A"/>
    <w:rsid w:val="526E0E82"/>
    <w:rsid w:val="527901C6"/>
    <w:rsid w:val="528241AF"/>
    <w:rsid w:val="52831D64"/>
    <w:rsid w:val="528F4A24"/>
    <w:rsid w:val="52944BB6"/>
    <w:rsid w:val="529C012B"/>
    <w:rsid w:val="52A24532"/>
    <w:rsid w:val="52A611A1"/>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504048"/>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81D42"/>
    <w:rsid w:val="55401B14"/>
    <w:rsid w:val="554748F2"/>
    <w:rsid w:val="554D414C"/>
    <w:rsid w:val="554E7279"/>
    <w:rsid w:val="55594FFB"/>
    <w:rsid w:val="55637CEB"/>
    <w:rsid w:val="55677DDA"/>
    <w:rsid w:val="55757FB9"/>
    <w:rsid w:val="55836DAB"/>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5F61F1C"/>
    <w:rsid w:val="560C022B"/>
    <w:rsid w:val="560D5F48"/>
    <w:rsid w:val="56106284"/>
    <w:rsid w:val="56182852"/>
    <w:rsid w:val="5632642A"/>
    <w:rsid w:val="56375B61"/>
    <w:rsid w:val="564944F4"/>
    <w:rsid w:val="564E5820"/>
    <w:rsid w:val="565104C5"/>
    <w:rsid w:val="56630C00"/>
    <w:rsid w:val="56721038"/>
    <w:rsid w:val="56737DF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541FA4"/>
    <w:rsid w:val="576476C1"/>
    <w:rsid w:val="576E1940"/>
    <w:rsid w:val="57756BF9"/>
    <w:rsid w:val="57770501"/>
    <w:rsid w:val="577B3337"/>
    <w:rsid w:val="577D4F28"/>
    <w:rsid w:val="57A33734"/>
    <w:rsid w:val="57AB6ADD"/>
    <w:rsid w:val="57B7178E"/>
    <w:rsid w:val="57B76EED"/>
    <w:rsid w:val="57BD72A7"/>
    <w:rsid w:val="57BE5838"/>
    <w:rsid w:val="57BF764E"/>
    <w:rsid w:val="57CB35DF"/>
    <w:rsid w:val="57D82354"/>
    <w:rsid w:val="57F14720"/>
    <w:rsid w:val="57FC07D9"/>
    <w:rsid w:val="57FF6992"/>
    <w:rsid w:val="58036FF1"/>
    <w:rsid w:val="580F1B21"/>
    <w:rsid w:val="581B7E79"/>
    <w:rsid w:val="5837438C"/>
    <w:rsid w:val="58420FA1"/>
    <w:rsid w:val="58500F22"/>
    <w:rsid w:val="585809EC"/>
    <w:rsid w:val="58587379"/>
    <w:rsid w:val="585D72B5"/>
    <w:rsid w:val="586D57A3"/>
    <w:rsid w:val="587917A0"/>
    <w:rsid w:val="587A4288"/>
    <w:rsid w:val="5880052B"/>
    <w:rsid w:val="588E3967"/>
    <w:rsid w:val="5899112E"/>
    <w:rsid w:val="589E7444"/>
    <w:rsid w:val="58AD27D9"/>
    <w:rsid w:val="58B169A2"/>
    <w:rsid w:val="58B9636C"/>
    <w:rsid w:val="58C37133"/>
    <w:rsid w:val="58C93046"/>
    <w:rsid w:val="58D36BCB"/>
    <w:rsid w:val="58D8157C"/>
    <w:rsid w:val="58E11166"/>
    <w:rsid w:val="58E6349C"/>
    <w:rsid w:val="58E83DEC"/>
    <w:rsid w:val="58EF63EE"/>
    <w:rsid w:val="590317F0"/>
    <w:rsid w:val="59075000"/>
    <w:rsid w:val="5910664F"/>
    <w:rsid w:val="593559FD"/>
    <w:rsid w:val="593A45DB"/>
    <w:rsid w:val="594079B2"/>
    <w:rsid w:val="595B45EE"/>
    <w:rsid w:val="596A688E"/>
    <w:rsid w:val="59860400"/>
    <w:rsid w:val="5987482A"/>
    <w:rsid w:val="598A58C2"/>
    <w:rsid w:val="598C6F19"/>
    <w:rsid w:val="599C49A8"/>
    <w:rsid w:val="59A252D5"/>
    <w:rsid w:val="59A36725"/>
    <w:rsid w:val="59AD4E2E"/>
    <w:rsid w:val="59B14918"/>
    <w:rsid w:val="59B21BF9"/>
    <w:rsid w:val="59B45AB9"/>
    <w:rsid w:val="59B80C41"/>
    <w:rsid w:val="59BB4EA3"/>
    <w:rsid w:val="59C02FE0"/>
    <w:rsid w:val="59D02B0C"/>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C50F4"/>
    <w:rsid w:val="5ACC4940"/>
    <w:rsid w:val="5ACD3CD2"/>
    <w:rsid w:val="5AD7333E"/>
    <w:rsid w:val="5AD838D3"/>
    <w:rsid w:val="5AD86A6D"/>
    <w:rsid w:val="5ADF4325"/>
    <w:rsid w:val="5AE8708E"/>
    <w:rsid w:val="5AEC14F6"/>
    <w:rsid w:val="5AF124A4"/>
    <w:rsid w:val="5B0A4D6B"/>
    <w:rsid w:val="5B141085"/>
    <w:rsid w:val="5B28192B"/>
    <w:rsid w:val="5B342BAD"/>
    <w:rsid w:val="5B392581"/>
    <w:rsid w:val="5B4007EF"/>
    <w:rsid w:val="5B4D1F7C"/>
    <w:rsid w:val="5B51561D"/>
    <w:rsid w:val="5B52164D"/>
    <w:rsid w:val="5B570E24"/>
    <w:rsid w:val="5B607711"/>
    <w:rsid w:val="5B637E94"/>
    <w:rsid w:val="5B66707B"/>
    <w:rsid w:val="5B673066"/>
    <w:rsid w:val="5B6A48A8"/>
    <w:rsid w:val="5B70610D"/>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8681A"/>
    <w:rsid w:val="5C097C4E"/>
    <w:rsid w:val="5C1A3A93"/>
    <w:rsid w:val="5C235386"/>
    <w:rsid w:val="5C2A4E9F"/>
    <w:rsid w:val="5C37782E"/>
    <w:rsid w:val="5C3B6CFC"/>
    <w:rsid w:val="5C4735D5"/>
    <w:rsid w:val="5C4C2CF4"/>
    <w:rsid w:val="5C6B1600"/>
    <w:rsid w:val="5C6E26BF"/>
    <w:rsid w:val="5C706511"/>
    <w:rsid w:val="5C7D70D1"/>
    <w:rsid w:val="5C8542A8"/>
    <w:rsid w:val="5CA6294E"/>
    <w:rsid w:val="5CCC1DEC"/>
    <w:rsid w:val="5CDB3358"/>
    <w:rsid w:val="5CED4E0C"/>
    <w:rsid w:val="5CEE1DD1"/>
    <w:rsid w:val="5CFF09AB"/>
    <w:rsid w:val="5D034EE9"/>
    <w:rsid w:val="5D0366E8"/>
    <w:rsid w:val="5D08684C"/>
    <w:rsid w:val="5D0A06B6"/>
    <w:rsid w:val="5D125E39"/>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022B4"/>
    <w:rsid w:val="5E237029"/>
    <w:rsid w:val="5E2E6243"/>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3370DF"/>
    <w:rsid w:val="5F683B6E"/>
    <w:rsid w:val="5F684490"/>
    <w:rsid w:val="5F697EE8"/>
    <w:rsid w:val="5F6D06D6"/>
    <w:rsid w:val="5F6E768C"/>
    <w:rsid w:val="5F875C0C"/>
    <w:rsid w:val="5F8A0701"/>
    <w:rsid w:val="5F8F0B9E"/>
    <w:rsid w:val="5F8F267A"/>
    <w:rsid w:val="5F941274"/>
    <w:rsid w:val="5F9A540B"/>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6E656C"/>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4A544A"/>
    <w:rsid w:val="625272C3"/>
    <w:rsid w:val="626D0F69"/>
    <w:rsid w:val="62715337"/>
    <w:rsid w:val="6280204D"/>
    <w:rsid w:val="6290769B"/>
    <w:rsid w:val="62943D08"/>
    <w:rsid w:val="629718F1"/>
    <w:rsid w:val="62995E6F"/>
    <w:rsid w:val="62A05735"/>
    <w:rsid w:val="62A411F8"/>
    <w:rsid w:val="62A81A26"/>
    <w:rsid w:val="62B0109F"/>
    <w:rsid w:val="62BA7A46"/>
    <w:rsid w:val="62C376AC"/>
    <w:rsid w:val="62CE13CB"/>
    <w:rsid w:val="62D2197B"/>
    <w:rsid w:val="62DB028F"/>
    <w:rsid w:val="62EE4623"/>
    <w:rsid w:val="62F214BD"/>
    <w:rsid w:val="62F6011A"/>
    <w:rsid w:val="62FD2BA9"/>
    <w:rsid w:val="63064FB6"/>
    <w:rsid w:val="6327422B"/>
    <w:rsid w:val="6328597C"/>
    <w:rsid w:val="633B249F"/>
    <w:rsid w:val="633D1842"/>
    <w:rsid w:val="635123F0"/>
    <w:rsid w:val="63552D76"/>
    <w:rsid w:val="6359778B"/>
    <w:rsid w:val="635B63E3"/>
    <w:rsid w:val="63677698"/>
    <w:rsid w:val="636C452A"/>
    <w:rsid w:val="63771D13"/>
    <w:rsid w:val="638C3395"/>
    <w:rsid w:val="63B37325"/>
    <w:rsid w:val="63B82D87"/>
    <w:rsid w:val="63BA3154"/>
    <w:rsid w:val="63CA2E8B"/>
    <w:rsid w:val="63CF097D"/>
    <w:rsid w:val="63CF736D"/>
    <w:rsid w:val="63D4153E"/>
    <w:rsid w:val="63DA0FA3"/>
    <w:rsid w:val="63DC7755"/>
    <w:rsid w:val="63E43D21"/>
    <w:rsid w:val="63E774B3"/>
    <w:rsid w:val="63F47D2A"/>
    <w:rsid w:val="63F6335E"/>
    <w:rsid w:val="63FE2D33"/>
    <w:rsid w:val="64046427"/>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3698F"/>
    <w:rsid w:val="6506609B"/>
    <w:rsid w:val="65083216"/>
    <w:rsid w:val="650A57D3"/>
    <w:rsid w:val="65460728"/>
    <w:rsid w:val="654835A8"/>
    <w:rsid w:val="65733E15"/>
    <w:rsid w:val="65822810"/>
    <w:rsid w:val="65870C45"/>
    <w:rsid w:val="658F6B54"/>
    <w:rsid w:val="659705FF"/>
    <w:rsid w:val="65AA6346"/>
    <w:rsid w:val="65B01B69"/>
    <w:rsid w:val="65B56C47"/>
    <w:rsid w:val="65B7794D"/>
    <w:rsid w:val="65B8262E"/>
    <w:rsid w:val="65BC15EE"/>
    <w:rsid w:val="65CC4C22"/>
    <w:rsid w:val="65D23D59"/>
    <w:rsid w:val="65D4773F"/>
    <w:rsid w:val="65DC5939"/>
    <w:rsid w:val="65DC7985"/>
    <w:rsid w:val="65E41A1C"/>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001AF"/>
    <w:rsid w:val="667C7AEC"/>
    <w:rsid w:val="667F71BA"/>
    <w:rsid w:val="66863A0F"/>
    <w:rsid w:val="66984358"/>
    <w:rsid w:val="669B7C76"/>
    <w:rsid w:val="66A200F8"/>
    <w:rsid w:val="66A205F5"/>
    <w:rsid w:val="66A30EC2"/>
    <w:rsid w:val="66AA4BA8"/>
    <w:rsid w:val="66C56058"/>
    <w:rsid w:val="66C955BD"/>
    <w:rsid w:val="66CF3182"/>
    <w:rsid w:val="66D97420"/>
    <w:rsid w:val="66DC059A"/>
    <w:rsid w:val="66DC317D"/>
    <w:rsid w:val="66DD5461"/>
    <w:rsid w:val="66E10E78"/>
    <w:rsid w:val="66E617C5"/>
    <w:rsid w:val="66E910C9"/>
    <w:rsid w:val="66EC4220"/>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2A4993"/>
    <w:rsid w:val="68445430"/>
    <w:rsid w:val="685B0620"/>
    <w:rsid w:val="685C6395"/>
    <w:rsid w:val="686318DD"/>
    <w:rsid w:val="68635145"/>
    <w:rsid w:val="686D19A4"/>
    <w:rsid w:val="687914A4"/>
    <w:rsid w:val="687A2E65"/>
    <w:rsid w:val="687F607E"/>
    <w:rsid w:val="6887281F"/>
    <w:rsid w:val="688B4E92"/>
    <w:rsid w:val="689565AD"/>
    <w:rsid w:val="689A41FB"/>
    <w:rsid w:val="689E57F0"/>
    <w:rsid w:val="68A34C5C"/>
    <w:rsid w:val="68C93BC5"/>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D31B2E"/>
    <w:rsid w:val="69EB1E1E"/>
    <w:rsid w:val="69F0745A"/>
    <w:rsid w:val="6A0D20F2"/>
    <w:rsid w:val="6A1757B7"/>
    <w:rsid w:val="6A1A2066"/>
    <w:rsid w:val="6A1D59EC"/>
    <w:rsid w:val="6A247F72"/>
    <w:rsid w:val="6A286809"/>
    <w:rsid w:val="6A2E5EF8"/>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7D43FA"/>
    <w:rsid w:val="6B8642C7"/>
    <w:rsid w:val="6B874340"/>
    <w:rsid w:val="6B884219"/>
    <w:rsid w:val="6B90781F"/>
    <w:rsid w:val="6BA6663C"/>
    <w:rsid w:val="6BA9194F"/>
    <w:rsid w:val="6BAF473A"/>
    <w:rsid w:val="6BB07973"/>
    <w:rsid w:val="6BCA7437"/>
    <w:rsid w:val="6BE727F5"/>
    <w:rsid w:val="6C001608"/>
    <w:rsid w:val="6C08064C"/>
    <w:rsid w:val="6C0858B3"/>
    <w:rsid w:val="6C132D21"/>
    <w:rsid w:val="6C240DF3"/>
    <w:rsid w:val="6C45610F"/>
    <w:rsid w:val="6C546992"/>
    <w:rsid w:val="6C59472D"/>
    <w:rsid w:val="6C5A4564"/>
    <w:rsid w:val="6C5E2B25"/>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B4AB7"/>
    <w:rsid w:val="6D7F5384"/>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AE218A"/>
    <w:rsid w:val="6EB169D3"/>
    <w:rsid w:val="6EB21539"/>
    <w:rsid w:val="6EB829B1"/>
    <w:rsid w:val="6EB978A9"/>
    <w:rsid w:val="6ECC3A24"/>
    <w:rsid w:val="6ED86D3E"/>
    <w:rsid w:val="6EE9744F"/>
    <w:rsid w:val="6EEC3F7C"/>
    <w:rsid w:val="6EF3602C"/>
    <w:rsid w:val="6EFE1485"/>
    <w:rsid w:val="6F0247B3"/>
    <w:rsid w:val="6F031F8E"/>
    <w:rsid w:val="6F09008D"/>
    <w:rsid w:val="6F0D382C"/>
    <w:rsid w:val="6F2632E8"/>
    <w:rsid w:val="6F30363A"/>
    <w:rsid w:val="6F3316E5"/>
    <w:rsid w:val="6F3F40F9"/>
    <w:rsid w:val="6F424B2F"/>
    <w:rsid w:val="6F5E0205"/>
    <w:rsid w:val="6F632569"/>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1E0E96"/>
    <w:rsid w:val="701F75A2"/>
    <w:rsid w:val="702B6F43"/>
    <w:rsid w:val="7032079E"/>
    <w:rsid w:val="70383665"/>
    <w:rsid w:val="703C186A"/>
    <w:rsid w:val="704C34F0"/>
    <w:rsid w:val="70570007"/>
    <w:rsid w:val="705843B4"/>
    <w:rsid w:val="7058635C"/>
    <w:rsid w:val="70611FB0"/>
    <w:rsid w:val="70655A58"/>
    <w:rsid w:val="706A37E5"/>
    <w:rsid w:val="70822BAD"/>
    <w:rsid w:val="708746BC"/>
    <w:rsid w:val="708A15C0"/>
    <w:rsid w:val="708F7F54"/>
    <w:rsid w:val="70926B0B"/>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115386"/>
    <w:rsid w:val="71126908"/>
    <w:rsid w:val="71151975"/>
    <w:rsid w:val="711D1189"/>
    <w:rsid w:val="712A2C1F"/>
    <w:rsid w:val="712A5215"/>
    <w:rsid w:val="712F2B3D"/>
    <w:rsid w:val="71336A65"/>
    <w:rsid w:val="713A6008"/>
    <w:rsid w:val="7144725F"/>
    <w:rsid w:val="7148395C"/>
    <w:rsid w:val="714B215B"/>
    <w:rsid w:val="714E2D72"/>
    <w:rsid w:val="71545B37"/>
    <w:rsid w:val="71570E43"/>
    <w:rsid w:val="71573E01"/>
    <w:rsid w:val="716F00B2"/>
    <w:rsid w:val="71702748"/>
    <w:rsid w:val="71867894"/>
    <w:rsid w:val="71920F6D"/>
    <w:rsid w:val="7196106A"/>
    <w:rsid w:val="719E0160"/>
    <w:rsid w:val="719F7A78"/>
    <w:rsid w:val="71A03079"/>
    <w:rsid w:val="71AD22C0"/>
    <w:rsid w:val="71B623F6"/>
    <w:rsid w:val="71B84778"/>
    <w:rsid w:val="71C7540C"/>
    <w:rsid w:val="71E857A5"/>
    <w:rsid w:val="71EB0D10"/>
    <w:rsid w:val="71F64A63"/>
    <w:rsid w:val="71F870B8"/>
    <w:rsid w:val="72021233"/>
    <w:rsid w:val="720B2A1D"/>
    <w:rsid w:val="72197AB8"/>
    <w:rsid w:val="72242D83"/>
    <w:rsid w:val="72502F9F"/>
    <w:rsid w:val="7251515C"/>
    <w:rsid w:val="725817D3"/>
    <w:rsid w:val="726E6AD4"/>
    <w:rsid w:val="727C422C"/>
    <w:rsid w:val="7288329F"/>
    <w:rsid w:val="728D72D4"/>
    <w:rsid w:val="728E71EE"/>
    <w:rsid w:val="729121AF"/>
    <w:rsid w:val="7292045A"/>
    <w:rsid w:val="72974DBE"/>
    <w:rsid w:val="72983FF8"/>
    <w:rsid w:val="72985E1E"/>
    <w:rsid w:val="72A20C20"/>
    <w:rsid w:val="72AC5E95"/>
    <w:rsid w:val="72B57AED"/>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45810"/>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CC250C"/>
    <w:rsid w:val="73CF4D8D"/>
    <w:rsid w:val="73E406FD"/>
    <w:rsid w:val="73E436B8"/>
    <w:rsid w:val="73E52294"/>
    <w:rsid w:val="73EC5464"/>
    <w:rsid w:val="73F50355"/>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22AD"/>
    <w:rsid w:val="744B354F"/>
    <w:rsid w:val="7450294E"/>
    <w:rsid w:val="7450574F"/>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3F3D3B"/>
    <w:rsid w:val="754723D0"/>
    <w:rsid w:val="75482D09"/>
    <w:rsid w:val="75633812"/>
    <w:rsid w:val="756F29D2"/>
    <w:rsid w:val="75752B04"/>
    <w:rsid w:val="757D0536"/>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7001F24"/>
    <w:rsid w:val="770A6C33"/>
    <w:rsid w:val="771A04D1"/>
    <w:rsid w:val="771B67DF"/>
    <w:rsid w:val="771E64D7"/>
    <w:rsid w:val="7721189D"/>
    <w:rsid w:val="77240552"/>
    <w:rsid w:val="77272CAB"/>
    <w:rsid w:val="772B4341"/>
    <w:rsid w:val="77451578"/>
    <w:rsid w:val="774963F2"/>
    <w:rsid w:val="77576666"/>
    <w:rsid w:val="77636E18"/>
    <w:rsid w:val="776564EF"/>
    <w:rsid w:val="776709A1"/>
    <w:rsid w:val="77674898"/>
    <w:rsid w:val="7768296F"/>
    <w:rsid w:val="77692EA3"/>
    <w:rsid w:val="77695538"/>
    <w:rsid w:val="7773758E"/>
    <w:rsid w:val="77825248"/>
    <w:rsid w:val="7785098B"/>
    <w:rsid w:val="77870D91"/>
    <w:rsid w:val="778A3229"/>
    <w:rsid w:val="779258CC"/>
    <w:rsid w:val="7794068F"/>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0B568B"/>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CF6283"/>
    <w:rsid w:val="78D74444"/>
    <w:rsid w:val="78DA30DC"/>
    <w:rsid w:val="78EB5FB1"/>
    <w:rsid w:val="78EC45D8"/>
    <w:rsid w:val="78EC6DF0"/>
    <w:rsid w:val="78F02AF8"/>
    <w:rsid w:val="78F5335B"/>
    <w:rsid w:val="78F554EB"/>
    <w:rsid w:val="78FF5EC9"/>
    <w:rsid w:val="791843E7"/>
    <w:rsid w:val="79233426"/>
    <w:rsid w:val="79260F03"/>
    <w:rsid w:val="792E73F2"/>
    <w:rsid w:val="79395A92"/>
    <w:rsid w:val="793C6522"/>
    <w:rsid w:val="794008FB"/>
    <w:rsid w:val="79412D41"/>
    <w:rsid w:val="794708D9"/>
    <w:rsid w:val="794B21A1"/>
    <w:rsid w:val="7964574A"/>
    <w:rsid w:val="79804706"/>
    <w:rsid w:val="79835FC2"/>
    <w:rsid w:val="79840597"/>
    <w:rsid w:val="79846671"/>
    <w:rsid w:val="79941CF2"/>
    <w:rsid w:val="79973382"/>
    <w:rsid w:val="79B4353E"/>
    <w:rsid w:val="79C07B43"/>
    <w:rsid w:val="79C832AC"/>
    <w:rsid w:val="79D33056"/>
    <w:rsid w:val="79D715DF"/>
    <w:rsid w:val="79D85AB0"/>
    <w:rsid w:val="79E16F93"/>
    <w:rsid w:val="79E701E5"/>
    <w:rsid w:val="79EC0256"/>
    <w:rsid w:val="79F60153"/>
    <w:rsid w:val="79FB6E2C"/>
    <w:rsid w:val="79FF7B91"/>
    <w:rsid w:val="7A36322F"/>
    <w:rsid w:val="7A431242"/>
    <w:rsid w:val="7A444657"/>
    <w:rsid w:val="7A450F30"/>
    <w:rsid w:val="7A4B3D21"/>
    <w:rsid w:val="7A4C2D60"/>
    <w:rsid w:val="7A56511A"/>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07B7F"/>
    <w:rsid w:val="7BAA485C"/>
    <w:rsid w:val="7BAD1591"/>
    <w:rsid w:val="7BCD64C2"/>
    <w:rsid w:val="7BD3716B"/>
    <w:rsid w:val="7BE42529"/>
    <w:rsid w:val="7BEC2711"/>
    <w:rsid w:val="7BF55850"/>
    <w:rsid w:val="7C1054B7"/>
    <w:rsid w:val="7C131E53"/>
    <w:rsid w:val="7C261982"/>
    <w:rsid w:val="7C26369C"/>
    <w:rsid w:val="7C2A465C"/>
    <w:rsid w:val="7C2E06D8"/>
    <w:rsid w:val="7C305879"/>
    <w:rsid w:val="7C34521A"/>
    <w:rsid w:val="7C4067F6"/>
    <w:rsid w:val="7C4674BA"/>
    <w:rsid w:val="7C4A2BD1"/>
    <w:rsid w:val="7C4C0053"/>
    <w:rsid w:val="7C576C70"/>
    <w:rsid w:val="7C6E4349"/>
    <w:rsid w:val="7C77043F"/>
    <w:rsid w:val="7C8A7CDC"/>
    <w:rsid w:val="7C9B5288"/>
    <w:rsid w:val="7C9E5A24"/>
    <w:rsid w:val="7CA745A1"/>
    <w:rsid w:val="7CAF4DCB"/>
    <w:rsid w:val="7CB4006B"/>
    <w:rsid w:val="7CB93ABB"/>
    <w:rsid w:val="7CC475DB"/>
    <w:rsid w:val="7CD36BD6"/>
    <w:rsid w:val="7CDA3A10"/>
    <w:rsid w:val="7CDE3831"/>
    <w:rsid w:val="7CE656F0"/>
    <w:rsid w:val="7CED34FF"/>
    <w:rsid w:val="7CEE5458"/>
    <w:rsid w:val="7CF26588"/>
    <w:rsid w:val="7CF565D7"/>
    <w:rsid w:val="7CF7605D"/>
    <w:rsid w:val="7CF867A7"/>
    <w:rsid w:val="7CFA3A46"/>
    <w:rsid w:val="7CFC78A1"/>
    <w:rsid w:val="7D0F5720"/>
    <w:rsid w:val="7D180A74"/>
    <w:rsid w:val="7D24652E"/>
    <w:rsid w:val="7D2561FD"/>
    <w:rsid w:val="7D2E198F"/>
    <w:rsid w:val="7D342E03"/>
    <w:rsid w:val="7D3B3737"/>
    <w:rsid w:val="7D3D73AF"/>
    <w:rsid w:val="7D3F6E5D"/>
    <w:rsid w:val="7D5052A6"/>
    <w:rsid w:val="7D514310"/>
    <w:rsid w:val="7D5B27C9"/>
    <w:rsid w:val="7D62117D"/>
    <w:rsid w:val="7D6B7F02"/>
    <w:rsid w:val="7D6F5CEF"/>
    <w:rsid w:val="7D746385"/>
    <w:rsid w:val="7D834A16"/>
    <w:rsid w:val="7D931E10"/>
    <w:rsid w:val="7D9D0A97"/>
    <w:rsid w:val="7D9D1E8D"/>
    <w:rsid w:val="7D9D438F"/>
    <w:rsid w:val="7DA514D2"/>
    <w:rsid w:val="7DAE6BE3"/>
    <w:rsid w:val="7DC11C5D"/>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717E9"/>
    <w:rsid w:val="7F6A77AB"/>
    <w:rsid w:val="7F6B2248"/>
    <w:rsid w:val="7F725E7C"/>
    <w:rsid w:val="7F761ADC"/>
    <w:rsid w:val="7F7D7A8E"/>
    <w:rsid w:val="7F872588"/>
    <w:rsid w:val="7F8725BA"/>
    <w:rsid w:val="7F8C6A8F"/>
    <w:rsid w:val="7F994DB5"/>
    <w:rsid w:val="7F9C175D"/>
    <w:rsid w:val="7F9E0670"/>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3.wmf"/><Relationship Id="rId14" Type="http://schemas.openxmlformats.org/officeDocument/2006/relationships/oleObject" Target="embeddings/oleObject1.bin"/><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2024-11-08T08:36:38Z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EAF8F6C2588B4568962C23E86F638826</vt:lpwstr>
  </property>
</Properties>
</file>